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1246D" w14:textId="54097A93" w:rsidR="00BB5E7C" w:rsidRPr="008B5521" w:rsidRDefault="00BB5E7C" w:rsidP="00341112">
      <w:pPr>
        <w:widowControl w:val="0"/>
        <w:spacing w:before="120"/>
        <w:jc w:val="both"/>
        <w:rPr>
          <w:rFonts w:ascii="Verdana" w:hAnsi="Verdana" w:cstheme="minorHAnsi"/>
          <w:sz w:val="18"/>
          <w:szCs w:val="18"/>
        </w:rPr>
      </w:pPr>
    </w:p>
    <w:p w14:paraId="047F350E" w14:textId="77777777" w:rsidR="00B702D2" w:rsidRPr="008B5521" w:rsidRDefault="00B702D2" w:rsidP="00341112">
      <w:pPr>
        <w:pStyle w:val="acnormal"/>
        <w:widowControl w:val="0"/>
        <w:tabs>
          <w:tab w:val="left" w:pos="209"/>
        </w:tabs>
        <w:jc w:val="left"/>
        <w:rPr>
          <w:rFonts w:ascii="Verdana" w:hAnsi="Verdana" w:cstheme="minorHAnsi"/>
          <w:sz w:val="20"/>
          <w:szCs w:val="20"/>
        </w:rPr>
      </w:pPr>
    </w:p>
    <w:p w14:paraId="3BA0118C" w14:textId="77777777" w:rsidR="007854CF" w:rsidRDefault="00022D53" w:rsidP="00341112">
      <w:pPr>
        <w:pStyle w:val="acnormal"/>
        <w:widowControl w:val="0"/>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2E54469A" w:rsidR="007854CF" w:rsidRPr="007854CF" w:rsidRDefault="007854CF" w:rsidP="00341112">
      <w:pPr>
        <w:widowControl w:val="0"/>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CE4329" w:rsidRPr="00CE4329">
        <w:rPr>
          <w:rFonts w:ascii="Verdana" w:hAnsi="Verdana" w:cstheme="minorHAnsi"/>
          <w:b/>
          <w:sz w:val="28"/>
          <w:szCs w:val="28"/>
          <w:u w:val="single"/>
        </w:rPr>
        <w:t>Dodávka neperlivé pitné vody 0,5l a 1,5l pro OŘ Praha na rok 2023</w:t>
      </w:r>
      <w:r w:rsidRPr="007854CF">
        <w:rPr>
          <w:rFonts w:ascii="Verdana" w:hAnsi="Verdana" w:cstheme="minorHAnsi"/>
          <w:b/>
          <w:sz w:val="28"/>
          <w:szCs w:val="28"/>
          <w:u w:val="single"/>
        </w:rPr>
        <w:t>“</w:t>
      </w:r>
    </w:p>
    <w:p w14:paraId="1E4AC4CE" w14:textId="52BBDB9D" w:rsidR="00CC5257" w:rsidRPr="008B5521" w:rsidRDefault="00022D53" w:rsidP="00341112">
      <w:pPr>
        <w:pStyle w:val="acnormal"/>
        <w:widowControl w:val="0"/>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B540A2">
        <w:rPr>
          <w:rFonts w:ascii="Verdana" w:hAnsi="Verdana" w:cstheme="minorHAnsi"/>
          <w:b/>
          <w:sz w:val="22"/>
          <w:u w:val="single"/>
        </w:rPr>
        <w:t>Kupující</w:t>
      </w:r>
      <w:r w:rsidR="00590964">
        <w:rPr>
          <w:rFonts w:ascii="Verdana" w:hAnsi="Verdana" w:cstheme="minorHAnsi"/>
          <w:b/>
          <w:sz w:val="22"/>
          <w:u w:val="single"/>
        </w:rPr>
        <w:t>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roofErr w:type="gramEnd"/>
    </w:p>
    <w:p w14:paraId="1E344A30" w14:textId="4BAAE92A" w:rsidR="00840806" w:rsidRPr="00477CDD" w:rsidRDefault="006F1EC7" w:rsidP="00477CDD">
      <w:pPr>
        <w:pStyle w:val="acnormal"/>
        <w:widowControl w:val="0"/>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590964">
        <w:rPr>
          <w:rFonts w:ascii="Verdana" w:hAnsi="Verdana" w:cstheme="minorHAnsi"/>
          <w:b/>
          <w:sz w:val="22"/>
          <w:u w:val="single"/>
        </w:rPr>
        <w:t>ho</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762175A7" w14:textId="149C8821" w:rsidR="0022127F" w:rsidRPr="008B5521" w:rsidRDefault="0022127F" w:rsidP="00341112">
      <w:pPr>
        <w:widowControl w:val="0"/>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341112">
      <w:pPr>
        <w:widowControl w:val="0"/>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18F12DB0" w:rsidR="00D734CC" w:rsidRPr="008B5521" w:rsidRDefault="00D734CC"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BA0337" w:rsidRPr="00341112">
        <w:rPr>
          <w:rFonts w:ascii="Verdana" w:hAnsi="Verdana" w:cstheme="minorHAnsi"/>
          <w:b/>
          <w:sz w:val="18"/>
          <w:szCs w:val="18"/>
        </w:rPr>
        <w:t>Ing. Vladimírem Filipem, ředitelem Oblastního ředitelství Praha</w:t>
      </w:r>
      <w:r w:rsidR="00BA0337" w:rsidRPr="00BA0337">
        <w:rPr>
          <w:rFonts w:ascii="Verdana" w:hAnsi="Verdana" w:cstheme="minorHAnsi"/>
          <w:sz w:val="18"/>
          <w:szCs w:val="18"/>
        </w:rPr>
        <w:t xml:space="preserve">, na základě pověření č. 2381 ze dne 21. 3. 2018  </w:t>
      </w:r>
      <w:r w:rsidR="00640C8A" w:rsidRPr="008B5521">
        <w:rPr>
          <w:rFonts w:ascii="Verdana" w:hAnsi="Verdana" w:cstheme="minorHAnsi"/>
          <w:sz w:val="18"/>
          <w:szCs w:val="18"/>
        </w:rPr>
        <w:tab/>
      </w:r>
      <w:r w:rsidRPr="008B5521">
        <w:rPr>
          <w:rFonts w:ascii="Verdana" w:hAnsi="Verdana" w:cstheme="minorHAnsi"/>
          <w:sz w:val="18"/>
          <w:szCs w:val="18"/>
        </w:rPr>
        <w:t xml:space="preserve"> </w:t>
      </w:r>
    </w:p>
    <w:p w14:paraId="72F77500" w14:textId="77777777" w:rsidR="00194826" w:rsidRPr="008B5521" w:rsidRDefault="00194826" w:rsidP="00341112">
      <w:pPr>
        <w:widowControl w:val="0"/>
        <w:spacing w:before="120" w:after="120"/>
        <w:jc w:val="both"/>
        <w:rPr>
          <w:rFonts w:ascii="Verdana" w:hAnsi="Verdana" w:cstheme="minorHAnsi"/>
          <w:sz w:val="18"/>
          <w:szCs w:val="18"/>
        </w:rPr>
      </w:pPr>
      <w:r w:rsidRPr="008B5521">
        <w:rPr>
          <w:rFonts w:ascii="Verdana" w:hAnsi="Verdana" w:cstheme="minorHAnsi"/>
          <w:sz w:val="18"/>
          <w:szCs w:val="18"/>
        </w:rPr>
        <w:t xml:space="preserve">Adresa pro doručování </w:t>
      </w:r>
      <w:proofErr w:type="gramStart"/>
      <w:r w:rsidRPr="008B5521">
        <w:rPr>
          <w:rFonts w:ascii="Verdana" w:hAnsi="Verdana" w:cstheme="minorHAnsi"/>
          <w:sz w:val="18"/>
          <w:szCs w:val="18"/>
        </w:rPr>
        <w:t>písemností  v listinné</w:t>
      </w:r>
      <w:proofErr w:type="gramEnd"/>
      <w:r w:rsidRPr="008B5521">
        <w:rPr>
          <w:rFonts w:ascii="Verdana" w:hAnsi="Verdana" w:cstheme="minorHAnsi"/>
          <w:sz w:val="18"/>
          <w:szCs w:val="18"/>
        </w:rPr>
        <w:t xml:space="preserve"> podobě:</w:t>
      </w:r>
    </w:p>
    <w:p w14:paraId="7CE1BF48" w14:textId="77777777" w:rsidR="00840806" w:rsidRDefault="00BA0337" w:rsidP="00341112">
      <w:pPr>
        <w:widowControl w:val="0"/>
        <w:spacing w:before="120" w:after="120"/>
        <w:jc w:val="both"/>
        <w:rPr>
          <w:rFonts w:ascii="Verdana" w:hAnsi="Verdana" w:cstheme="minorHAnsi"/>
          <w:sz w:val="18"/>
          <w:szCs w:val="18"/>
        </w:rPr>
      </w:pPr>
      <w:r w:rsidRPr="00341112">
        <w:rPr>
          <w:rFonts w:ascii="Verdana" w:hAnsi="Verdana" w:cstheme="minorHAnsi"/>
          <w:sz w:val="18"/>
          <w:szCs w:val="18"/>
        </w:rPr>
        <w:t>Správa železnic, státní organizace, Oblastní ředitelství Praha, Partyzánská 24, 170 00 Praha 7</w:t>
      </w:r>
    </w:p>
    <w:p w14:paraId="197747E2" w14:textId="5F87EED1" w:rsidR="00194826" w:rsidRPr="008B5521" w:rsidRDefault="00194826" w:rsidP="00341112">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4A8BE17A" w14:textId="77777777" w:rsidR="00BA0337" w:rsidRDefault="00BB36E1" w:rsidP="00341112">
      <w:pPr>
        <w:pStyle w:val="acnormal"/>
        <w:widowControl w:val="0"/>
        <w:spacing w:line="240" w:lineRule="auto"/>
        <w:rPr>
          <w:rStyle w:val="Hypertextovodkaz"/>
          <w:rFonts w:ascii="Verdana" w:hAnsi="Verdana" w:cstheme="minorHAnsi"/>
          <w:sz w:val="18"/>
          <w:szCs w:val="18"/>
        </w:rPr>
      </w:pPr>
      <w:hyperlink r:id="rId11" w:history="1">
        <w:r w:rsidR="00BA0337" w:rsidRPr="00BC0B33">
          <w:rPr>
            <w:rStyle w:val="Hypertextovodkaz"/>
            <w:rFonts w:ascii="Verdana" w:hAnsi="Verdana" w:cstheme="minorHAnsi"/>
            <w:sz w:val="18"/>
            <w:szCs w:val="18"/>
          </w:rPr>
          <w:t xml:space="preserve">ePodatelnaORPHA@spravazeleznic.cz </w:t>
        </w:r>
      </w:hyperlink>
    </w:p>
    <w:p w14:paraId="1828980C" w14:textId="77777777" w:rsidR="00CC5257" w:rsidRPr="008B5521" w:rsidRDefault="00CC5257" w:rsidP="00341112">
      <w:pPr>
        <w:pStyle w:val="acnormal"/>
        <w:widowControl w:val="0"/>
        <w:spacing w:after="0" w:line="240" w:lineRule="auto"/>
        <w:rPr>
          <w:rFonts w:ascii="Verdana" w:hAnsi="Verdana" w:cstheme="minorHAnsi"/>
          <w:sz w:val="18"/>
          <w:szCs w:val="18"/>
        </w:rPr>
      </w:pPr>
      <w:r w:rsidRPr="008B5521">
        <w:rPr>
          <w:rFonts w:ascii="Verdana" w:hAnsi="Verdana" w:cstheme="minorHAnsi"/>
          <w:sz w:val="18"/>
          <w:szCs w:val="18"/>
        </w:rPr>
        <w:t xml:space="preserve">jako </w:t>
      </w:r>
      <w:r w:rsidRPr="00477CDD">
        <w:rPr>
          <w:rFonts w:ascii="Verdana" w:hAnsi="Verdana" w:cstheme="minorHAnsi"/>
          <w:b/>
          <w:sz w:val="18"/>
          <w:szCs w:val="18"/>
        </w:rPr>
        <w:t>„</w:t>
      </w:r>
      <w:r w:rsidR="00CB26F1" w:rsidRPr="00477CDD">
        <w:rPr>
          <w:rFonts w:ascii="Verdana" w:hAnsi="Verdana" w:cstheme="minorHAnsi"/>
          <w:b/>
          <w:sz w:val="18"/>
          <w:szCs w:val="18"/>
        </w:rPr>
        <w:t>Kupující</w:t>
      </w:r>
      <w:r w:rsidRPr="00477CDD">
        <w:rPr>
          <w:rFonts w:ascii="Verdana" w:hAnsi="Verdana" w:cstheme="minorHAnsi"/>
          <w:b/>
          <w:sz w:val="18"/>
          <w:szCs w:val="18"/>
        </w:rPr>
        <w:t>“</w:t>
      </w:r>
      <w:r w:rsidRPr="008B5521">
        <w:rPr>
          <w:rFonts w:ascii="Verdana" w:hAnsi="Verdana" w:cstheme="minorHAnsi"/>
          <w:sz w:val="18"/>
          <w:szCs w:val="18"/>
        </w:rPr>
        <w:t xml:space="preserve"> na straně jedné</w:t>
      </w:r>
    </w:p>
    <w:p w14:paraId="685DCEFC" w14:textId="77777777" w:rsidR="00E3610E" w:rsidRPr="008B5521" w:rsidRDefault="00E3610E" w:rsidP="00341112">
      <w:pPr>
        <w:pStyle w:val="acnormal"/>
        <w:widowControl w:val="0"/>
        <w:spacing w:line="240" w:lineRule="auto"/>
        <w:rPr>
          <w:rFonts w:ascii="Verdana" w:hAnsi="Verdana" w:cstheme="minorHAnsi"/>
          <w:sz w:val="18"/>
          <w:szCs w:val="18"/>
        </w:rPr>
      </w:pPr>
    </w:p>
    <w:p w14:paraId="71DA9673" w14:textId="77777777" w:rsidR="00F265E8" w:rsidRPr="008B5521" w:rsidRDefault="00CC5257"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341112">
      <w:pPr>
        <w:pStyle w:val="acnormal"/>
        <w:widowControl w:val="0"/>
        <w:spacing w:line="240" w:lineRule="auto"/>
        <w:rPr>
          <w:rFonts w:ascii="Verdana" w:hAnsi="Verdana" w:cstheme="minorHAnsi"/>
          <w:sz w:val="18"/>
          <w:szCs w:val="18"/>
        </w:rPr>
      </w:pPr>
    </w:p>
    <w:p w14:paraId="201FD196" w14:textId="6FE06F32" w:rsidR="00CC5257" w:rsidRPr="008B5521" w:rsidRDefault="00402E9E" w:rsidP="00341112">
      <w:pPr>
        <w:pStyle w:val="acnormal"/>
        <w:widowControl w:val="0"/>
        <w:spacing w:before="0"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"[VLOŽÍ</w:t>
      </w:r>
      <w:proofErr w:type="gramEnd"/>
      <w:r w:rsidR="00840806" w:rsidRPr="0026110E">
        <w:rPr>
          <w:rFonts w:ascii="Verdana" w:hAnsi="Verdana" w:cstheme="minorHAnsi"/>
          <w:sz w:val="18"/>
          <w:szCs w:val="18"/>
          <w:highlight w:val="yellow"/>
        </w:rPr>
        <w:t xml:space="preserve">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18BBEACD" w:rsidR="00402E9E" w:rsidRPr="008B5521" w:rsidRDefault="00402E9E" w:rsidP="00341112">
      <w:pPr>
        <w:pStyle w:val="acnormal"/>
        <w:widowControl w:val="0"/>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588FE3FE" w14:textId="32ADAAD2" w:rsidR="00402E9E" w:rsidRPr="008B5521" w:rsidRDefault="00402E9E" w:rsidP="00341112">
      <w:pPr>
        <w:pStyle w:val="acnormal"/>
        <w:widowControl w:val="0"/>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"[VLOŽÍ</w:t>
      </w:r>
      <w:proofErr w:type="gramEnd"/>
      <w:r w:rsidR="00840806" w:rsidRPr="0026110E">
        <w:rPr>
          <w:rFonts w:ascii="Verdana" w:hAnsi="Verdana" w:cstheme="minorHAnsi"/>
          <w:sz w:val="18"/>
          <w:szCs w:val="18"/>
          <w:highlight w:val="yellow"/>
        </w:rPr>
        <w:t xml:space="preserve">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232A6C5B" w14:textId="789493A9" w:rsidR="00402E9E" w:rsidRPr="008B5521" w:rsidRDefault="00402E9E" w:rsidP="00341112">
      <w:pPr>
        <w:pStyle w:val="acnormal"/>
        <w:widowControl w:val="0"/>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"[VLOŽÍ</w:t>
      </w:r>
      <w:proofErr w:type="gramEnd"/>
      <w:r w:rsidR="00840806" w:rsidRPr="0026110E">
        <w:rPr>
          <w:rFonts w:ascii="Verdana" w:hAnsi="Verdana" w:cstheme="minorHAnsi"/>
          <w:sz w:val="18"/>
          <w:szCs w:val="18"/>
          <w:highlight w:val="yellow"/>
        </w:rPr>
        <w:t xml:space="preserve">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2D8B93CF" w14:textId="3BA5B0E8" w:rsidR="008D7572" w:rsidRPr="008B5521" w:rsidRDefault="008D7572" w:rsidP="00341112">
      <w:pPr>
        <w:widowControl w:val="0"/>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5EB2413E" w14:textId="76E78C3E" w:rsidR="008D7572" w:rsidRPr="008B5521" w:rsidRDefault="00B55BD0" w:rsidP="00341112">
      <w:pPr>
        <w:widowControl w:val="0"/>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777DC794" w14:textId="738ED01E" w:rsidR="00402E9E" w:rsidRPr="008B5521" w:rsidRDefault="000A5BC6"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57372C4D" w:rsidR="00CC5257" w:rsidRPr="008B5521" w:rsidRDefault="000A5BC6" w:rsidP="00341112">
      <w:pPr>
        <w:pStyle w:val="acnormalbold"/>
        <w:widowControl w:val="0"/>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 ………………………………..</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600B6D97" w14:textId="1D06A7AB" w:rsidR="006F3D01" w:rsidRPr="00840806" w:rsidRDefault="006F3D01" w:rsidP="00341112">
      <w:pPr>
        <w:pStyle w:val="acnormal"/>
        <w:widowControl w:val="0"/>
        <w:rPr>
          <w:rFonts w:ascii="Verdana" w:hAnsi="Verdana" w:cstheme="minorHAnsi"/>
          <w:b/>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3178192A" w14:textId="7902BE4B" w:rsidR="006F3D01" w:rsidRPr="00061719" w:rsidRDefault="006F3D01" w:rsidP="00341112">
      <w:pPr>
        <w:pStyle w:val="acnormal"/>
        <w:widowControl w:val="0"/>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558A5CE4" w14:textId="77777777" w:rsidR="00574368" w:rsidRPr="008B5521" w:rsidRDefault="00CC5257" w:rsidP="00341112">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lastRenderedPageBreak/>
        <w:t xml:space="preserve">jako </w:t>
      </w:r>
      <w:r w:rsidRPr="00477CDD">
        <w:rPr>
          <w:rFonts w:ascii="Verdana" w:hAnsi="Verdana" w:cstheme="minorHAnsi"/>
          <w:b/>
          <w:sz w:val="18"/>
          <w:szCs w:val="18"/>
        </w:rPr>
        <w:t>„</w:t>
      </w:r>
      <w:r w:rsidR="000B560C" w:rsidRPr="00477CDD">
        <w:rPr>
          <w:rFonts w:ascii="Verdana" w:hAnsi="Verdana" w:cstheme="minorHAnsi"/>
          <w:b/>
          <w:sz w:val="18"/>
          <w:szCs w:val="18"/>
        </w:rPr>
        <w:t>Prodávající</w:t>
      </w:r>
      <w:r w:rsidRPr="00477CDD">
        <w:rPr>
          <w:rFonts w:ascii="Verdana" w:hAnsi="Verdana" w:cstheme="minorHAnsi"/>
          <w:b/>
          <w:sz w:val="18"/>
          <w:szCs w:val="18"/>
        </w:rPr>
        <w:t>“</w:t>
      </w:r>
      <w:r w:rsidRPr="008B5521">
        <w:rPr>
          <w:rFonts w:ascii="Verdana" w:hAnsi="Verdana" w:cstheme="minorHAnsi"/>
          <w:sz w:val="18"/>
          <w:szCs w:val="18"/>
        </w:rPr>
        <w:t xml:space="preserve"> na straně druhé </w:t>
      </w:r>
    </w:p>
    <w:p w14:paraId="381A8B1E" w14:textId="77777777" w:rsidR="00E5485A" w:rsidRPr="008B5521" w:rsidRDefault="00E5485A" w:rsidP="00341112">
      <w:pPr>
        <w:pStyle w:val="acnormal"/>
        <w:widowControl w:val="0"/>
        <w:spacing w:line="240" w:lineRule="auto"/>
        <w:rPr>
          <w:rFonts w:ascii="Verdana" w:hAnsi="Verdana" w:cstheme="minorHAnsi"/>
          <w:b/>
          <w:sz w:val="18"/>
          <w:szCs w:val="18"/>
        </w:rPr>
      </w:pPr>
    </w:p>
    <w:p w14:paraId="6D57D423" w14:textId="176B4936" w:rsidR="00CC5257" w:rsidRPr="008B5521" w:rsidRDefault="00E5485A" w:rsidP="00341112">
      <w:pPr>
        <w:pStyle w:val="acnormal"/>
        <w:widowControl w:val="0"/>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2F125EF9" w:rsidR="000C4186" w:rsidRPr="008B5521" w:rsidRDefault="000B560C" w:rsidP="00341112">
      <w:pPr>
        <w:widowControl w:val="0"/>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1F0A7A">
        <w:rPr>
          <w:rFonts w:ascii="Verdana" w:hAnsi="Verdana" w:cstheme="minorHAnsi"/>
          <w:sz w:val="18"/>
          <w:szCs w:val="18"/>
        </w:rPr>
        <w:t xml:space="preserve">zadávacímu </w:t>
      </w:r>
      <w:r w:rsidR="001F0A7A" w:rsidRPr="00F8388C">
        <w:rPr>
          <w:rFonts w:ascii="Verdana" w:hAnsi="Verdana" w:cstheme="minorHAnsi"/>
          <w:sz w:val="18"/>
          <w:szCs w:val="18"/>
        </w:rPr>
        <w:t>řízení na</w:t>
      </w:r>
      <w:r w:rsidR="000A53AE" w:rsidRPr="00F8388C">
        <w:rPr>
          <w:rFonts w:ascii="Verdana" w:hAnsi="Verdana" w:cstheme="minorHAnsi"/>
          <w:sz w:val="18"/>
          <w:szCs w:val="18"/>
        </w:rPr>
        <w:t xml:space="preserve"> </w:t>
      </w:r>
      <w:r w:rsidR="005E6DAB" w:rsidRPr="00F8388C">
        <w:rPr>
          <w:rFonts w:ascii="Verdana" w:hAnsi="Verdana" w:cstheme="minorHAnsi"/>
          <w:sz w:val="18"/>
          <w:szCs w:val="18"/>
        </w:rPr>
        <w:t>podlimitní sektorov</w:t>
      </w:r>
      <w:r w:rsidR="000A53AE" w:rsidRPr="00F8388C">
        <w:rPr>
          <w:rFonts w:ascii="Verdana" w:hAnsi="Verdana" w:cstheme="minorHAnsi"/>
          <w:sz w:val="18"/>
          <w:szCs w:val="18"/>
        </w:rPr>
        <w:t>ou</w:t>
      </w:r>
      <w:r w:rsidR="005E6DAB" w:rsidRPr="00F8388C">
        <w:rPr>
          <w:rFonts w:ascii="Verdana" w:hAnsi="Verdana" w:cstheme="minorHAnsi"/>
          <w:sz w:val="18"/>
          <w:szCs w:val="18"/>
        </w:rPr>
        <w:t xml:space="preserve"> veřejn</w:t>
      </w:r>
      <w:r w:rsidR="000A53AE" w:rsidRPr="00F8388C">
        <w:rPr>
          <w:rFonts w:ascii="Verdana" w:hAnsi="Verdana" w:cstheme="minorHAnsi"/>
          <w:sz w:val="18"/>
          <w:szCs w:val="18"/>
        </w:rPr>
        <w:t>ou</w:t>
      </w:r>
      <w:r w:rsidR="005E6DAB" w:rsidRPr="00F8388C">
        <w:rPr>
          <w:rFonts w:ascii="Verdana" w:hAnsi="Verdana" w:cstheme="minorHAnsi"/>
          <w:sz w:val="18"/>
          <w:szCs w:val="18"/>
        </w:rPr>
        <w:t xml:space="preserve"> zakázk</w:t>
      </w:r>
      <w:r w:rsidR="000A53AE" w:rsidRPr="00F8388C">
        <w:rPr>
          <w:rFonts w:ascii="Verdana" w:hAnsi="Verdana" w:cstheme="minorHAnsi"/>
          <w:sz w:val="18"/>
          <w:szCs w:val="18"/>
        </w:rPr>
        <w:t>u</w:t>
      </w:r>
      <w:r w:rsidR="00D919C5" w:rsidRPr="00F8388C">
        <w:rPr>
          <w:rFonts w:ascii="Verdana" w:hAnsi="Verdana" w:cstheme="minorHAnsi"/>
          <w:sz w:val="18"/>
          <w:szCs w:val="18"/>
        </w:rPr>
        <w:t xml:space="preserve"> </w:t>
      </w:r>
      <w:r w:rsidR="00030FD1" w:rsidRPr="00F8388C">
        <w:rPr>
          <w:rFonts w:ascii="Verdana" w:hAnsi="Verdana" w:cstheme="minorHAnsi"/>
          <w:sz w:val="18"/>
          <w:szCs w:val="18"/>
        </w:rPr>
        <w:t>zadávan</w:t>
      </w:r>
      <w:r w:rsidR="000A53AE" w:rsidRPr="00F8388C">
        <w:rPr>
          <w:rFonts w:ascii="Verdana" w:hAnsi="Verdana" w:cstheme="minorHAnsi"/>
          <w:sz w:val="18"/>
          <w:szCs w:val="18"/>
        </w:rPr>
        <w:t>ou</w:t>
      </w:r>
      <w:r w:rsidR="001F0A7A" w:rsidRPr="00F8388C">
        <w:rPr>
          <w:rFonts w:ascii="Verdana" w:hAnsi="Verdana" w:cstheme="minorHAnsi"/>
          <w:sz w:val="18"/>
          <w:szCs w:val="18"/>
        </w:rPr>
        <w:t xml:space="preserve"> mimo režim zákona</w:t>
      </w:r>
      <w:r w:rsidR="00030FD1" w:rsidRPr="00F8388C">
        <w:rPr>
          <w:rFonts w:ascii="Verdana" w:hAnsi="Verdana" w:cstheme="minorHAnsi"/>
          <w:sz w:val="18"/>
          <w:szCs w:val="18"/>
        </w:rPr>
        <w:t xml:space="preserve"> </w:t>
      </w:r>
      <w:r w:rsidRPr="00F8388C">
        <w:rPr>
          <w:rFonts w:ascii="Verdana" w:hAnsi="Verdana" w:cstheme="minorHAnsi"/>
          <w:sz w:val="18"/>
          <w:szCs w:val="18"/>
        </w:rPr>
        <w:t xml:space="preserve">s názvem </w:t>
      </w:r>
      <w:r w:rsidR="001F0A7A" w:rsidRPr="00F8388C">
        <w:rPr>
          <w:rFonts w:ascii="Verdana" w:hAnsi="Verdana" w:cstheme="minorHAnsi"/>
          <w:b/>
          <w:sz w:val="18"/>
          <w:szCs w:val="18"/>
        </w:rPr>
        <w:t>„Dodávka neperlivé</w:t>
      </w:r>
      <w:r w:rsidR="001F0A7A" w:rsidRPr="001F0A7A">
        <w:rPr>
          <w:rFonts w:ascii="Verdana" w:hAnsi="Verdana" w:cstheme="minorHAnsi"/>
          <w:b/>
          <w:sz w:val="18"/>
          <w:szCs w:val="18"/>
        </w:rPr>
        <w:t xml:space="preserve"> pitné vody 0,5l a 1,5l pro OŘ Praha na rok 2023“</w:t>
      </w:r>
      <w:r w:rsidRPr="008B5521">
        <w:rPr>
          <w:rFonts w:ascii="Verdana" w:hAnsi="Verdana" w:cstheme="minorHAnsi"/>
          <w:sz w:val="18"/>
          <w:szCs w:val="18"/>
        </w:rPr>
        <w:t>, č.</w:t>
      </w:r>
      <w:r w:rsidR="00FE4AFF">
        <w:rPr>
          <w:rFonts w:ascii="Verdana" w:hAnsi="Verdana" w:cstheme="minorHAnsi"/>
          <w:sz w:val="18"/>
          <w:szCs w:val="18"/>
        </w:rPr>
        <w:t xml:space="preserve"> </w:t>
      </w:r>
      <w:r w:rsidRPr="008B5521">
        <w:rPr>
          <w:rFonts w:ascii="Verdana" w:hAnsi="Verdana" w:cstheme="minorHAnsi"/>
          <w:sz w:val="18"/>
          <w:szCs w:val="18"/>
        </w:rPr>
        <w:t xml:space="preserve">j. </w:t>
      </w:r>
      <w:r w:rsidR="00FE4AFF" w:rsidRPr="00FE4AFF">
        <w:rPr>
          <w:rFonts w:ascii="Verdana" w:hAnsi="Verdana" w:cstheme="minorHAnsi"/>
          <w:sz w:val="18"/>
          <w:szCs w:val="18"/>
        </w:rPr>
        <w:t>1703/2023-SŽ-OŘ PHA-OVZ</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341112">
      <w:pPr>
        <w:pStyle w:val="acnormalbulleted"/>
        <w:widowControl w:val="0"/>
        <w:ind w:left="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6A77BCA8" w:rsidR="000B560C" w:rsidRPr="008B5521" w:rsidRDefault="00893290" w:rsidP="00341112">
      <w:pPr>
        <w:pStyle w:val="acnormalbulleted"/>
        <w:widowControl w:val="0"/>
        <w:ind w:left="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r w:rsidRPr="008E57D2">
        <w:rPr>
          <w:rFonts w:ascii="Verdana" w:hAnsi="Verdana" w:cstheme="minorHAnsi"/>
          <w:sz w:val="18"/>
          <w:szCs w:val="18"/>
        </w:rPr>
        <w:t xml:space="preserve">v  </w:t>
      </w:r>
      <w:r w:rsidRPr="008E57D2">
        <w:rPr>
          <w:rFonts w:ascii="Verdana" w:hAnsi="Verdana" w:cstheme="minorHAnsi"/>
          <w:sz w:val="18"/>
          <w:szCs w:val="18"/>
          <w:lang w:eastAsia="cs-CZ"/>
        </w:rPr>
        <w:t xml:space="preserve">příloze č. </w:t>
      </w:r>
      <w:r w:rsidR="008E57D2" w:rsidRPr="008E57D2">
        <w:rPr>
          <w:rFonts w:ascii="Verdana" w:hAnsi="Verdana" w:cstheme="minorHAnsi"/>
          <w:sz w:val="18"/>
          <w:szCs w:val="18"/>
          <w:lang w:eastAsia="cs-CZ"/>
        </w:rPr>
        <w:t>3</w:t>
      </w:r>
      <w:r w:rsidR="006A4A0B" w:rsidRPr="008E57D2">
        <w:rPr>
          <w:rFonts w:ascii="Verdana" w:hAnsi="Verdana" w:cstheme="minorHAnsi"/>
          <w:sz w:val="18"/>
          <w:szCs w:val="18"/>
          <w:lang w:eastAsia="cs-CZ"/>
        </w:rPr>
        <w:t xml:space="preserve"> </w:t>
      </w:r>
      <w:r w:rsidRPr="008E57D2">
        <w:rPr>
          <w:rFonts w:ascii="Verdana" w:hAnsi="Verdana" w:cstheme="minorHAnsi"/>
          <w:sz w:val="18"/>
          <w:szCs w:val="18"/>
          <w:lang w:eastAsia="cs-CZ"/>
        </w:rPr>
        <w:t>této</w:t>
      </w:r>
      <w:r w:rsidRPr="008B5521">
        <w:rPr>
          <w:rFonts w:ascii="Verdana" w:hAnsi="Verdana" w:cstheme="minorHAnsi"/>
          <w:sz w:val="18"/>
          <w:szCs w:val="18"/>
          <w:lang w:eastAsia="cs-CZ"/>
        </w:rPr>
        <w:t xml:space="preserve">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76C646E9" w:rsidR="00893290" w:rsidRPr="008B5521" w:rsidRDefault="00893290" w:rsidP="00341112">
      <w:pPr>
        <w:pStyle w:val="acnormalbulleted"/>
        <w:widowControl w:val="0"/>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001A6855">
        <w:rPr>
          <w:rFonts w:ascii="Verdana" w:hAnsi="Verdana" w:cstheme="minorHAnsi"/>
          <w:sz w:val="18"/>
          <w:szCs w:val="18"/>
        </w:rPr>
        <w:t xml:space="preserve"> </w:t>
      </w:r>
      <w:r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2E096DB0" w:rsidR="00B74412" w:rsidRPr="008B5521" w:rsidRDefault="003742B2" w:rsidP="00341112">
      <w:pPr>
        <w:pStyle w:val="acnormalbulleted"/>
        <w:widowControl w:val="0"/>
        <w:numPr>
          <w:ilvl w:val="0"/>
          <w:numId w:val="3"/>
        </w:numPr>
        <w:tabs>
          <w:tab w:val="clear" w:pos="426"/>
          <w:tab w:val="left" w:pos="284"/>
        </w:tabs>
        <w:rPr>
          <w:rFonts w:ascii="Verdana" w:hAnsi="Verdana"/>
          <w:sz w:val="18"/>
          <w:szCs w:val="18"/>
        </w:rPr>
      </w:pPr>
      <w:r>
        <w:rPr>
          <w:rFonts w:ascii="Verdana" w:hAnsi="Verdana" w:cstheme="minorHAnsi"/>
          <w:sz w:val="18"/>
          <w:szCs w:val="18"/>
        </w:rPr>
        <w:t xml:space="preserv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4513D55" w14:textId="2895C8FE" w:rsidR="00B74412" w:rsidRDefault="00B74412" w:rsidP="00341112">
      <w:pPr>
        <w:pStyle w:val="acnormal"/>
        <w:widowControl w:val="0"/>
        <w:ind w:left="360"/>
        <w:rPr>
          <w:rFonts w:ascii="Verdana" w:hAnsi="Verdana"/>
          <w:sz w:val="18"/>
          <w:szCs w:val="18"/>
        </w:rPr>
      </w:pPr>
      <w:r w:rsidRPr="008B5521">
        <w:rPr>
          <w:rFonts w:ascii="Verdana" w:hAnsi="Verdana"/>
          <w:sz w:val="18"/>
          <w:szCs w:val="18"/>
        </w:rPr>
        <w:t xml:space="preserve">Kupující: </w:t>
      </w:r>
      <w:hyperlink r:id="rId12" w:history="1">
        <w:r w:rsidR="008E2559" w:rsidRPr="0084335F">
          <w:rPr>
            <w:rStyle w:val="Hypertextovodkaz"/>
            <w:rFonts w:ascii="Verdana" w:hAnsi="Verdana"/>
            <w:sz w:val="18"/>
            <w:szCs w:val="18"/>
          </w:rPr>
          <w:t>Kuhnelova@spravazeleznic.cz</w:t>
        </w:r>
      </w:hyperlink>
    </w:p>
    <w:p w14:paraId="5BAAA81D" w14:textId="491B2FF6" w:rsidR="00B74412" w:rsidRPr="008B5521" w:rsidRDefault="00B74412" w:rsidP="00341112">
      <w:pPr>
        <w:pStyle w:val="acnormal"/>
        <w:widowControl w:val="0"/>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r w:rsidR="00840806" w:rsidRPr="0026110E">
        <w:rPr>
          <w:rFonts w:ascii="Verdana" w:hAnsi="Verdana" w:cstheme="minorHAnsi"/>
          <w:sz w:val="18"/>
          <w:szCs w:val="18"/>
          <w:highlight w:val="yellow"/>
        </w:rPr>
        <w:t xml:space="preserve">"[VLOŽÍ </w:t>
      </w:r>
      <w:r w:rsidR="00840806">
        <w:rPr>
          <w:rFonts w:ascii="Verdana" w:hAnsi="Verdana" w:cstheme="minorHAnsi"/>
          <w:sz w:val="18"/>
          <w:szCs w:val="18"/>
          <w:highlight w:val="yellow"/>
        </w:rPr>
        <w:t>PRODÁVAJÍCÍ</w:t>
      </w:r>
      <w:r w:rsidR="00840806" w:rsidRPr="0026110E">
        <w:rPr>
          <w:rFonts w:ascii="Verdana" w:hAnsi="Verdana" w:cstheme="minorHAnsi"/>
          <w:sz w:val="18"/>
          <w:szCs w:val="18"/>
          <w:highlight w:val="yellow"/>
        </w:rPr>
        <w:t>]"</w:t>
      </w:r>
    </w:p>
    <w:p w14:paraId="18C4544E" w14:textId="38459832" w:rsidR="00893290" w:rsidRPr="008B5521" w:rsidRDefault="00893290" w:rsidP="00341112">
      <w:pPr>
        <w:pStyle w:val="acnormalbulleted"/>
        <w:widowControl w:val="0"/>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A6389F"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A6389F">
        <w:rPr>
          <w:rFonts w:ascii="Verdana" w:hAnsi="Verdana" w:cstheme="minorHAnsi"/>
          <w:sz w:val="18"/>
          <w:szCs w:val="18"/>
        </w:rPr>
        <w:t xml:space="preserve">cenu za plnění dílčí smlouvy vypočtenou dle jednotkových cen v příloze č. </w:t>
      </w:r>
      <w:r w:rsidR="007465F2" w:rsidRPr="00A6389F">
        <w:rPr>
          <w:rFonts w:ascii="Verdana" w:hAnsi="Verdana" w:cstheme="minorHAnsi"/>
          <w:sz w:val="18"/>
          <w:szCs w:val="18"/>
        </w:rPr>
        <w:t xml:space="preserve">3 </w:t>
      </w:r>
      <w:r w:rsidRPr="00A6389F">
        <w:rPr>
          <w:rFonts w:ascii="Verdana" w:hAnsi="Verdana" w:cstheme="minorHAnsi"/>
          <w:sz w:val="18"/>
          <w:szCs w:val="18"/>
        </w:rPr>
        <w:t xml:space="preserve">této </w:t>
      </w:r>
      <w:r w:rsidR="00881560" w:rsidRPr="00A6389F">
        <w:rPr>
          <w:rFonts w:ascii="Verdana" w:hAnsi="Verdana" w:cstheme="minorHAnsi"/>
          <w:sz w:val="18"/>
          <w:szCs w:val="18"/>
        </w:rPr>
        <w:t>Rámcové</w:t>
      </w:r>
      <w:r w:rsidRPr="00A6389F">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2C2B8FAF" w14:textId="7BDED11F" w:rsidR="00893290" w:rsidRPr="00C320F5" w:rsidRDefault="00893290" w:rsidP="00C320F5">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341112">
      <w:pPr>
        <w:widowControl w:val="0"/>
        <w:numPr>
          <w:ilvl w:val="0"/>
          <w:numId w:val="13"/>
        </w:numPr>
        <w:tabs>
          <w:tab w:val="left" w:pos="0"/>
        </w:tabs>
        <w:spacing w:after="0" w:line="360" w:lineRule="auto"/>
        <w:ind w:left="1434" w:hanging="357"/>
        <w:jc w:val="both"/>
        <w:rPr>
          <w:rFonts w:ascii="Verdana" w:hAnsi="Verdana" w:cstheme="minorHAnsi"/>
          <w:sz w:val="18"/>
          <w:szCs w:val="18"/>
        </w:rPr>
      </w:pPr>
      <w:r w:rsidRPr="008B5521">
        <w:rPr>
          <w:rFonts w:ascii="Verdana" w:hAnsi="Verdana" w:cstheme="minorHAnsi"/>
          <w:sz w:val="18"/>
          <w:szCs w:val="18"/>
        </w:rPr>
        <w:lastRenderedPageBreak/>
        <w:t>případně další nezbytné údaje ohledně předmětu plnění dílčí smlouvy.</w:t>
      </w:r>
    </w:p>
    <w:p w14:paraId="4B575428" w14:textId="405ABA2C" w:rsidR="00893290" w:rsidRPr="008B5521" w:rsidRDefault="00893290" w:rsidP="00341112">
      <w:pPr>
        <w:pStyle w:val="acnormalbulleted"/>
        <w:widowControl w:val="0"/>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3008C795" w:rsidR="00FF14B8" w:rsidRDefault="00D608AA" w:rsidP="00341112">
      <w:pPr>
        <w:pStyle w:val="Odstavecseseznamem"/>
        <w:widowControl w:val="0"/>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38252A">
        <w:rPr>
          <w:rFonts w:ascii="Verdana" w:hAnsi="Verdana" w:cstheme="minorHAnsi"/>
          <w:sz w:val="18"/>
          <w:szCs w:val="18"/>
        </w:rPr>
        <w:t>2</w:t>
      </w:r>
      <w:r w:rsidR="00A0526B" w:rsidRPr="008B5521">
        <w:rPr>
          <w:rFonts w:ascii="Verdana" w:hAnsi="Verdana" w:cstheme="minorHAnsi"/>
          <w:sz w:val="18"/>
          <w:szCs w:val="18"/>
        </w:rPr>
        <w:t xml:space="preserve"> </w:t>
      </w:r>
      <w:r w:rsidR="00893290" w:rsidRPr="008B5521">
        <w:rPr>
          <w:rFonts w:ascii="Verdana" w:hAnsi="Verdana" w:cstheme="minorHAnsi"/>
          <w:sz w:val="18"/>
          <w:szCs w:val="18"/>
        </w:rPr>
        <w:t>pracovních dn</w:t>
      </w:r>
      <w:r w:rsidR="00A0526B" w:rsidRPr="008B5521">
        <w:rPr>
          <w:rFonts w:ascii="Verdana" w:hAnsi="Verdana" w:cstheme="minorHAnsi"/>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2FC2B708" w14:textId="77777777" w:rsidR="005E1F4C" w:rsidRDefault="005E1F4C" w:rsidP="00341112">
      <w:pPr>
        <w:pStyle w:val="Odstavecseseznamem"/>
        <w:widowControl w:val="0"/>
        <w:ind w:left="360"/>
        <w:jc w:val="both"/>
        <w:rPr>
          <w:rFonts w:ascii="Verdana" w:hAnsi="Verdana" w:cstheme="minorHAnsi"/>
          <w:sz w:val="18"/>
          <w:szCs w:val="18"/>
        </w:rPr>
      </w:pPr>
    </w:p>
    <w:p w14:paraId="7044594C" w14:textId="51741877" w:rsidR="00893290" w:rsidRPr="0099628D" w:rsidRDefault="00FF14B8" w:rsidP="00341112">
      <w:pPr>
        <w:pStyle w:val="Odstavecseseznamem"/>
        <w:widowControl w:val="0"/>
        <w:numPr>
          <w:ilvl w:val="0"/>
          <w:numId w:val="3"/>
        </w:numPr>
        <w:jc w:val="both"/>
        <w:rPr>
          <w:rFonts w:ascii="Verdana" w:hAnsi="Verdana" w:cstheme="minorHAnsi"/>
          <w:sz w:val="18"/>
          <w:szCs w:val="18"/>
        </w:rPr>
      </w:pPr>
      <w:r w:rsidRPr="0099628D">
        <w:rPr>
          <w:rFonts w:ascii="Verdana" w:hAnsi="Verdana" w:cstheme="minorHAnsi"/>
          <w:sz w:val="18"/>
          <w:szCs w:val="18"/>
        </w:rPr>
        <w:t>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497D84" w:rsidRPr="0099628D">
        <w:rPr>
          <w:rFonts w:ascii="Verdana" w:hAnsi="Verdana" w:cstheme="minorHAnsi"/>
          <w:sz w:val="18"/>
          <w:szCs w:val="18"/>
        </w:rPr>
        <w:t xml:space="preserve"> článku </w:t>
      </w:r>
      <w:r w:rsidRPr="0099628D">
        <w:rPr>
          <w:rFonts w:ascii="Verdana" w:hAnsi="Verdana" w:cstheme="minorHAnsi"/>
          <w:sz w:val="18"/>
          <w:szCs w:val="18"/>
        </w:rPr>
        <w:t xml:space="preserve">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38252A" w:rsidRPr="00B53A97">
        <w:rPr>
          <w:rFonts w:ascii="Verdana" w:hAnsi="Verdana" w:cstheme="minorHAnsi"/>
          <w:sz w:val="18"/>
          <w:szCs w:val="18"/>
        </w:rPr>
        <w:t xml:space="preserve">20 </w:t>
      </w:r>
      <w:r w:rsidRPr="00B53A97">
        <w:rPr>
          <w:rFonts w:ascii="Verdana" w:hAnsi="Verdana" w:cstheme="minorHAnsi"/>
          <w:sz w:val="18"/>
          <w:szCs w:val="18"/>
        </w:rPr>
        <w:t>% z</w:t>
      </w:r>
      <w:r w:rsidRPr="0099628D">
        <w:rPr>
          <w:rFonts w:ascii="Verdana" w:hAnsi="Verdana" w:cstheme="minorHAnsi"/>
          <w:sz w:val="18"/>
          <w:szCs w:val="18"/>
        </w:rPr>
        <w:t xml:space="preserve"> ceny za plnění budoucí dílčí smlouvy, kterou </w:t>
      </w:r>
      <w:r w:rsidR="00ED42A7" w:rsidRPr="0099628D">
        <w:rPr>
          <w:rFonts w:ascii="Verdana" w:hAnsi="Verdana" w:cstheme="minorHAnsi"/>
          <w:sz w:val="18"/>
          <w:szCs w:val="18"/>
        </w:rPr>
        <w:t>Prodá</w:t>
      </w:r>
      <w:r w:rsidRPr="0099628D">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99628D">
        <w:t xml:space="preserve"> </w:t>
      </w:r>
      <w:r w:rsidRPr="0099628D">
        <w:rPr>
          <w:rFonts w:ascii="Verdana" w:hAnsi="Verdana" w:cstheme="minorHAnsi"/>
          <w:sz w:val="18"/>
          <w:szCs w:val="18"/>
        </w:rPr>
        <w:t>Ustanovení bodu 89 obchodních podmínek se uplatní i v tomto případě.</w:t>
      </w:r>
      <w:r w:rsidR="00893290" w:rsidRPr="0099628D">
        <w:rPr>
          <w:rFonts w:ascii="Verdana" w:hAnsi="Verdana" w:cstheme="minorHAnsi"/>
          <w:sz w:val="18"/>
          <w:szCs w:val="18"/>
        </w:rPr>
        <w:t xml:space="preserve"> </w:t>
      </w:r>
    </w:p>
    <w:p w14:paraId="09229F7D" w14:textId="70A6F8BB" w:rsidR="00CC5257"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42E28925" w14:textId="4C79ADEA" w:rsidR="00FA012C" w:rsidRPr="008B5521" w:rsidRDefault="00AE1171" w:rsidP="00AE1171">
      <w:pPr>
        <w:pStyle w:val="acnormalbulleted"/>
        <w:numPr>
          <w:ilvl w:val="0"/>
          <w:numId w:val="1"/>
        </w:numPr>
        <w:rPr>
          <w:rFonts w:ascii="Verdana" w:hAnsi="Verdana" w:cstheme="minorHAnsi"/>
          <w:sz w:val="18"/>
          <w:szCs w:val="18"/>
        </w:rPr>
      </w:pPr>
      <w:r w:rsidRPr="00AE1171">
        <w:rPr>
          <w:rFonts w:ascii="Verdana" w:eastAsiaTheme="majorEastAsia" w:hAnsi="Verdana" w:cstheme="minorHAnsi"/>
          <w:bCs/>
          <w:sz w:val="18"/>
          <w:szCs w:val="18"/>
        </w:rPr>
        <w:t>Tato Rámcová dohoda je uzavírána na období od uveřejnění rámcové dohody v registru smluv do 31.</w:t>
      </w:r>
      <w:r>
        <w:rPr>
          <w:rFonts w:ascii="Verdana" w:eastAsiaTheme="majorEastAsia" w:hAnsi="Verdana" w:cstheme="minorHAnsi"/>
          <w:bCs/>
          <w:sz w:val="18"/>
          <w:szCs w:val="18"/>
        </w:rPr>
        <w:t xml:space="preserve"> </w:t>
      </w:r>
      <w:r w:rsidRPr="00AE1171">
        <w:rPr>
          <w:rFonts w:ascii="Verdana" w:eastAsiaTheme="majorEastAsia" w:hAnsi="Verdana" w:cstheme="minorHAnsi"/>
          <w:bCs/>
          <w:sz w:val="18"/>
          <w:szCs w:val="18"/>
        </w:rPr>
        <w:t>12.</w:t>
      </w:r>
      <w:r>
        <w:rPr>
          <w:rFonts w:ascii="Verdana" w:eastAsiaTheme="majorEastAsia" w:hAnsi="Verdana" w:cstheme="minorHAnsi"/>
          <w:bCs/>
          <w:sz w:val="18"/>
          <w:szCs w:val="18"/>
        </w:rPr>
        <w:t xml:space="preserve"> </w:t>
      </w:r>
      <w:r w:rsidRPr="00AE1171">
        <w:rPr>
          <w:rFonts w:ascii="Verdana" w:eastAsiaTheme="majorEastAsia" w:hAnsi="Verdana" w:cstheme="minorHAnsi"/>
          <w:bCs/>
          <w:sz w:val="18"/>
          <w:szCs w:val="18"/>
        </w:rPr>
        <w:t>2023, anebo do doby uzavření dílčí smlouvy, na základě které dojde k objednání zboží dle této Rámcové dohody (v součtu všech dílčích smluv)</w:t>
      </w:r>
      <w:r>
        <w:rPr>
          <w:rFonts w:ascii="Verdana" w:eastAsiaTheme="majorEastAsia" w:hAnsi="Verdana" w:cstheme="minorHAnsi"/>
          <w:bCs/>
          <w:sz w:val="18"/>
          <w:szCs w:val="18"/>
        </w:rPr>
        <w:t xml:space="preserve"> v částce převyšující 785 000</w:t>
      </w:r>
      <w:r w:rsidRPr="00AE1171">
        <w:rPr>
          <w:rFonts w:ascii="Verdana" w:eastAsiaTheme="majorEastAsia" w:hAnsi="Verdana" w:cstheme="minorHAnsi"/>
          <w:bCs/>
          <w:sz w:val="18"/>
          <w:szCs w:val="18"/>
        </w:rPr>
        <w:t xml:space="preserve"> Kč 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w:t>
      </w:r>
      <w:r>
        <w:rPr>
          <w:rFonts w:ascii="Verdana" w:eastAsiaTheme="majorEastAsia" w:hAnsi="Verdana" w:cstheme="minorHAnsi"/>
          <w:bCs/>
          <w:sz w:val="18"/>
          <w:szCs w:val="18"/>
        </w:rPr>
        <w:t xml:space="preserve">) přesahující částku 790 000 </w:t>
      </w:r>
      <w:r w:rsidRPr="00AE1171">
        <w:rPr>
          <w:rFonts w:ascii="Verdana" w:eastAsiaTheme="majorEastAsia" w:hAnsi="Verdana" w:cstheme="minorHAnsi"/>
          <w:bCs/>
          <w:sz w:val="18"/>
          <w:szCs w:val="18"/>
        </w:rPr>
        <w:t>Kč bez DPH.</w:t>
      </w:r>
    </w:p>
    <w:p w14:paraId="7EC44902" w14:textId="1D2EAC65" w:rsidR="00062B10" w:rsidRPr="004B473A" w:rsidRDefault="00D608AA" w:rsidP="00341112">
      <w:pPr>
        <w:pStyle w:val="acnormalbulleted"/>
        <w:widowControl w:val="0"/>
        <w:numPr>
          <w:ilvl w:val="0"/>
          <w:numId w:val="1"/>
        </w:numPr>
        <w:tabs>
          <w:tab w:val="clear" w:pos="426"/>
        </w:tabs>
        <w:rPr>
          <w:rFonts w:ascii="Verdana" w:hAnsi="Verdana" w:cstheme="minorHAnsi"/>
          <w:sz w:val="18"/>
          <w:szCs w:val="18"/>
        </w:rPr>
      </w:pPr>
      <w:r w:rsidRPr="004B473A">
        <w:rPr>
          <w:rFonts w:ascii="Verdana" w:hAnsi="Verdana" w:cstheme="minorHAnsi"/>
          <w:sz w:val="18"/>
          <w:szCs w:val="18"/>
        </w:rPr>
        <w:t>Míst</w:t>
      </w:r>
      <w:r w:rsidR="00474AD3" w:rsidRPr="004B473A">
        <w:rPr>
          <w:rFonts w:ascii="Verdana" w:hAnsi="Verdana" w:cstheme="minorHAnsi"/>
          <w:sz w:val="18"/>
          <w:szCs w:val="18"/>
        </w:rPr>
        <w:t>o</w:t>
      </w:r>
      <w:r w:rsidRPr="004B473A">
        <w:rPr>
          <w:rFonts w:ascii="Verdana" w:hAnsi="Verdana" w:cstheme="minorHAnsi"/>
          <w:sz w:val="18"/>
          <w:szCs w:val="18"/>
        </w:rPr>
        <w:t xml:space="preserve"> plnění dílčích smluv je zpravidla uvedeno v dílčí smlouvě. </w:t>
      </w:r>
      <w:r w:rsidR="00062B10" w:rsidRPr="004B473A">
        <w:rPr>
          <w:rFonts w:ascii="Verdana" w:eastAsiaTheme="majorEastAsia" w:hAnsi="Verdana" w:cstheme="minorHAnsi"/>
          <w:bCs/>
          <w:sz w:val="18"/>
          <w:szCs w:val="18"/>
        </w:rPr>
        <w:t>Dopravu požadovaného zboží do místa plnění zajišťuje Prodávající.</w:t>
      </w:r>
      <w:r w:rsidR="00062B10" w:rsidRPr="004B473A">
        <w:rPr>
          <w:rFonts w:ascii="Verdana" w:hAnsi="Verdana" w:cstheme="minorHAnsi"/>
          <w:sz w:val="18"/>
          <w:szCs w:val="18"/>
        </w:rPr>
        <w:t xml:space="preserve"> </w:t>
      </w:r>
    </w:p>
    <w:p w14:paraId="4B31DD05" w14:textId="5A495EF3" w:rsidR="00D034CB" w:rsidRPr="008B5521" w:rsidRDefault="00D034CB" w:rsidP="00341112">
      <w:pPr>
        <w:pStyle w:val="acnormalbulleted"/>
        <w:widowControl w:val="0"/>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w:t>
      </w:r>
      <w:proofErr w:type="gramStart"/>
      <w:r w:rsidR="00D608AA" w:rsidRPr="008B5521">
        <w:rPr>
          <w:rFonts w:ascii="Verdana" w:hAnsi="Verdana" w:cstheme="minorHAnsi"/>
          <w:sz w:val="18"/>
          <w:szCs w:val="18"/>
        </w:rPr>
        <w:t xml:space="preserve">dílčí </w:t>
      </w:r>
      <w:r w:rsidR="00D919C5">
        <w:rPr>
          <w:rFonts w:ascii="Verdana" w:hAnsi="Verdana" w:cstheme="minorHAnsi"/>
          <w:sz w:val="18"/>
          <w:szCs w:val="18"/>
        </w:rPr>
        <w:t xml:space="preserve">  </w:t>
      </w:r>
      <w:r w:rsidR="00D608AA" w:rsidRPr="008B5521">
        <w:rPr>
          <w:rFonts w:ascii="Verdana" w:hAnsi="Verdana" w:cstheme="minorHAnsi"/>
          <w:sz w:val="18"/>
          <w:szCs w:val="18"/>
        </w:rPr>
        <w:t>smlouvě</w:t>
      </w:r>
      <w:proofErr w:type="gramEnd"/>
      <w:r w:rsidRPr="008B5521">
        <w:rPr>
          <w:rFonts w:ascii="Verdana" w:hAnsi="Verdana" w:cstheme="minorHAnsi"/>
          <w:sz w:val="18"/>
          <w:szCs w:val="18"/>
        </w:rPr>
        <w:t>. Prodávající je povinen tyto lhůty dodržet.</w:t>
      </w:r>
    </w:p>
    <w:p w14:paraId="52F8D611" w14:textId="7C19F569" w:rsidR="00062B10" w:rsidRPr="008B5521" w:rsidRDefault="00062B10" w:rsidP="00341112">
      <w:pPr>
        <w:pStyle w:val="acnormalbulleted"/>
        <w:widowControl w:val="0"/>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B43F1F">
        <w:rPr>
          <w:rFonts w:ascii="Verdana" w:eastAsiaTheme="majorEastAsia" w:hAnsi="Verdana" w:cstheme="minorHAnsi"/>
          <w:bCs/>
          <w:sz w:val="18"/>
          <w:szCs w:val="18"/>
        </w:rPr>
        <w:t xml:space="preserve">v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strana, u které tyto okolnosti nastanou, povinna neprodleně, nejpozději však </w:t>
      </w:r>
      <w:r w:rsidR="00D45E1D">
        <w:rPr>
          <w:rFonts w:ascii="Verdana" w:eastAsiaTheme="majorEastAsia" w:hAnsi="Verdana" w:cstheme="minorHAnsi"/>
          <w:bCs/>
          <w:sz w:val="18"/>
          <w:szCs w:val="18"/>
        </w:rPr>
        <w:t>2</w:t>
      </w:r>
      <w:r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2F392E6E" w14:textId="7B5C5997" w:rsidR="00062B10" w:rsidRPr="008B5521" w:rsidRDefault="00062B10" w:rsidP="00341112">
      <w:pPr>
        <w:pStyle w:val="acnormalbulleted"/>
        <w:widowControl w:val="0"/>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3C108B">
        <w:rPr>
          <w:rFonts w:ascii="Verdana" w:eastAsiaTheme="majorEastAsia" w:hAnsi="Verdana" w:cstheme="minorHAnsi"/>
          <w:bCs/>
          <w:sz w:val="18"/>
          <w:szCs w:val="18"/>
        </w:rPr>
        <w:t>Kupujícího</w:t>
      </w:r>
      <w:r w:rsidR="00B03468" w:rsidRPr="003C108B">
        <w:rPr>
          <w:rFonts w:ascii="Verdana" w:eastAsiaTheme="majorEastAsia" w:hAnsi="Verdana" w:cstheme="minorHAnsi"/>
          <w:bCs/>
          <w:sz w:val="18"/>
          <w:szCs w:val="18"/>
        </w:rPr>
        <w:t xml:space="preserve"> </w:t>
      </w:r>
      <w:r w:rsidRPr="003C108B">
        <w:rPr>
          <w:rFonts w:ascii="Verdana" w:eastAsiaTheme="majorEastAsia" w:hAnsi="Verdana" w:cstheme="minorHAnsi"/>
          <w:bCs/>
          <w:sz w:val="18"/>
          <w:szCs w:val="18"/>
        </w:rPr>
        <w:t>se rozumí převzetí bezvadného zboží k</w:t>
      </w:r>
      <w:r w:rsidR="006A4A0B" w:rsidRPr="003C108B">
        <w:rPr>
          <w:rFonts w:ascii="Verdana" w:eastAsiaTheme="majorEastAsia" w:hAnsi="Verdana" w:cstheme="minorHAnsi"/>
          <w:bCs/>
          <w:sz w:val="18"/>
          <w:szCs w:val="18"/>
        </w:rPr>
        <w:t> </w:t>
      </w:r>
      <w:r w:rsidRPr="003C108B">
        <w:rPr>
          <w:rFonts w:ascii="Verdana" w:eastAsiaTheme="majorEastAsia" w:hAnsi="Verdana" w:cstheme="minorHAnsi"/>
          <w:bCs/>
          <w:sz w:val="18"/>
          <w:szCs w:val="18"/>
        </w:rPr>
        <w:t>užívání</w:t>
      </w:r>
      <w:r w:rsidR="006A4A0B" w:rsidRPr="003C108B">
        <w:rPr>
          <w:rFonts w:ascii="Verdana" w:eastAsiaTheme="majorEastAsia" w:hAnsi="Verdana" w:cstheme="minorHAnsi"/>
          <w:bCs/>
          <w:sz w:val="18"/>
          <w:szCs w:val="18"/>
        </w:rPr>
        <w:t xml:space="preserve"> včetně všech souvisejících dokladů dle přílohy č. </w:t>
      </w:r>
      <w:r w:rsidR="003C108B" w:rsidRPr="003C108B">
        <w:rPr>
          <w:rFonts w:ascii="Verdana" w:eastAsiaTheme="majorEastAsia" w:hAnsi="Verdana" w:cstheme="minorHAnsi"/>
          <w:bCs/>
          <w:sz w:val="18"/>
          <w:szCs w:val="18"/>
        </w:rPr>
        <w:t>3</w:t>
      </w:r>
      <w:r w:rsidR="006A4A0B" w:rsidRPr="003C108B">
        <w:rPr>
          <w:rFonts w:ascii="Verdana" w:eastAsiaTheme="majorEastAsia" w:hAnsi="Verdana" w:cstheme="minorHAnsi"/>
          <w:bCs/>
          <w:sz w:val="18"/>
          <w:szCs w:val="18"/>
        </w:rPr>
        <w:t xml:space="preserve"> této dohody či dokumentů, na které příloha č. 1 odkazuje</w:t>
      </w:r>
      <w:r w:rsidRPr="003C108B">
        <w:rPr>
          <w:rFonts w:ascii="Verdana" w:eastAsiaTheme="majorEastAsia" w:hAnsi="Verdana" w:cstheme="minorHAnsi"/>
          <w:bCs/>
          <w:sz w:val="18"/>
          <w:szCs w:val="18"/>
        </w:rPr>
        <w:t>, po kontrole a přepočtu zboží.</w:t>
      </w:r>
    </w:p>
    <w:p w14:paraId="3FB70D26" w14:textId="384756B4" w:rsidR="00062B10" w:rsidRPr="008B5521" w:rsidRDefault="00062B10" w:rsidP="00341112">
      <w:pPr>
        <w:pStyle w:val="Nadpis2"/>
        <w:keepNext w:val="0"/>
        <w:widowControl w:val="0"/>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lastRenderedPageBreak/>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xml:space="preserve">“ o datu a době dodání zboží (v pracovní dny v čase </w:t>
      </w:r>
      <w:r w:rsidR="004374F9">
        <w:rPr>
          <w:rFonts w:ascii="Verdana" w:hAnsi="Verdana" w:cstheme="minorHAnsi"/>
          <w:sz w:val="18"/>
          <w:szCs w:val="18"/>
        </w:rPr>
        <w:t>7:00</w:t>
      </w:r>
      <w:r w:rsidRPr="004374F9">
        <w:rPr>
          <w:rFonts w:ascii="Verdana" w:hAnsi="Verdana" w:cstheme="minorHAnsi"/>
          <w:sz w:val="18"/>
          <w:szCs w:val="18"/>
        </w:rPr>
        <w:t xml:space="preserve"> – </w:t>
      </w:r>
      <w:r w:rsidR="004374F9" w:rsidRPr="004374F9">
        <w:rPr>
          <w:rFonts w:ascii="Verdana" w:hAnsi="Verdana" w:cstheme="minorHAnsi"/>
          <w:sz w:val="18"/>
          <w:szCs w:val="18"/>
        </w:rPr>
        <w:t>15:00</w:t>
      </w:r>
      <w:r w:rsidRPr="004374F9">
        <w:rPr>
          <w:rFonts w:ascii="Verdana" w:hAnsi="Verdana" w:cstheme="minorHAnsi"/>
          <w:sz w:val="18"/>
          <w:szCs w:val="18"/>
        </w:rPr>
        <w:t xml:space="preserve"> hod.)</w:t>
      </w:r>
      <w:r w:rsidRPr="008B5521">
        <w:rPr>
          <w:rFonts w:ascii="Verdana" w:hAnsi="Verdana" w:cstheme="minorHAnsi"/>
          <w:sz w:val="18"/>
          <w:szCs w:val="18"/>
        </w:rPr>
        <w:t>.</w:t>
      </w:r>
      <w:r w:rsidR="00D034CB" w:rsidRPr="008B5521">
        <w:rPr>
          <w:rFonts w:ascii="Verdana" w:hAnsi="Verdana" w:cstheme="minorHAnsi"/>
          <w:sz w:val="18"/>
          <w:szCs w:val="18"/>
        </w:rPr>
        <w:t xml:space="preserve"> K</w:t>
      </w:r>
      <w:r w:rsidRPr="008B5521">
        <w:rPr>
          <w:rFonts w:ascii="Verdana" w:hAnsi="Verdana" w:cstheme="minorHAnsi"/>
          <w:sz w:val="18"/>
          <w:szCs w:val="18"/>
        </w:rPr>
        <w:t xml:space="preserve"> </w:t>
      </w:r>
      <w:r w:rsidR="00D034CB" w:rsidRPr="008B5521">
        <w:rPr>
          <w:rFonts w:ascii="Verdana" w:hAnsi="Verdana" w:cstheme="minorHAnsi"/>
          <w:sz w:val="18"/>
          <w:szCs w:val="18"/>
        </w:rPr>
        <w:t xml:space="preserve">předání a převzetí zboží probíhá v rámci předávacího řízení potvrzením Dodacího listu ze strany Kupujícího a Prodávajícího. </w:t>
      </w:r>
    </w:p>
    <w:p w14:paraId="7817D39E" w14:textId="74BE2AF7" w:rsidR="00906C04" w:rsidRPr="002009D4" w:rsidRDefault="00062B10" w:rsidP="0019017C">
      <w:pPr>
        <w:pStyle w:val="Nadpis2"/>
        <w:keepNext w:val="0"/>
        <w:widowControl w:val="0"/>
        <w:numPr>
          <w:ilvl w:val="0"/>
          <w:numId w:val="1"/>
        </w:numPr>
        <w:spacing w:line="276" w:lineRule="auto"/>
        <w:ind w:left="357" w:hanging="357"/>
        <w:rPr>
          <w:rFonts w:ascii="Verdana" w:hAnsi="Verdana" w:cstheme="minorHAnsi"/>
          <w:sz w:val="18"/>
          <w:szCs w:val="18"/>
        </w:rPr>
      </w:pPr>
      <w:r w:rsidRPr="002009D4">
        <w:rPr>
          <w:rFonts w:ascii="Verdana" w:hAnsi="Verdana" w:cstheme="minorHAnsi"/>
          <w:sz w:val="18"/>
          <w:szCs w:val="18"/>
        </w:rPr>
        <w:t>Pojištění se u zboží nevyžaduje.</w:t>
      </w:r>
      <w:r w:rsidR="00685D2E" w:rsidRPr="002009D4">
        <w:rPr>
          <w:rFonts w:ascii="Verdana" w:hAnsi="Verdana" w:cstheme="minorHAnsi"/>
          <w:sz w:val="18"/>
          <w:szCs w:val="18"/>
        </w:rPr>
        <w:t xml:space="preserve"> Speciální balení se nevyžaduje.</w:t>
      </w:r>
    </w:p>
    <w:p w14:paraId="274D4255" w14:textId="43B30DA0" w:rsidR="00211202"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028E89AE" w:rsidR="00CB26F1" w:rsidRPr="008B5521" w:rsidRDefault="00496E5D" w:rsidP="00341112">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554EBC">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554EBC">
        <w:rPr>
          <w:rFonts w:ascii="Verdana" w:hAnsi="Verdana" w:cstheme="minorHAnsi"/>
          <w:sz w:val="18"/>
          <w:szCs w:val="18"/>
        </w:rPr>
        <w:t xml:space="preserve">3 </w:t>
      </w:r>
      <w:r w:rsidRPr="00554EBC">
        <w:rPr>
          <w:rFonts w:ascii="Verdana" w:hAnsi="Verdana" w:cstheme="minorHAnsi"/>
          <w:sz w:val="18"/>
          <w:szCs w:val="18"/>
        </w:rPr>
        <w:t xml:space="preserve">této </w:t>
      </w:r>
      <w:r w:rsidR="00881560" w:rsidRPr="00554EBC">
        <w:rPr>
          <w:rFonts w:ascii="Verdana" w:hAnsi="Verdana" w:cstheme="minorHAnsi"/>
          <w:sz w:val="18"/>
          <w:szCs w:val="18"/>
        </w:rPr>
        <w:t>Rámcové</w:t>
      </w:r>
      <w:r w:rsidRPr="00554EBC">
        <w:rPr>
          <w:rFonts w:ascii="Verdana" w:hAnsi="Verdana" w:cstheme="minorHAnsi"/>
          <w:sz w:val="18"/>
          <w:szCs w:val="18"/>
        </w:rPr>
        <w:t xml:space="preserve"> dohody a množství skut</w:t>
      </w:r>
      <w:r w:rsidR="00554EBC" w:rsidRPr="00554EBC">
        <w:rPr>
          <w:rFonts w:ascii="Verdana" w:hAnsi="Verdana" w:cstheme="minorHAnsi"/>
          <w:sz w:val="18"/>
          <w:szCs w:val="18"/>
        </w:rPr>
        <w:t>ečně dodaného zboží Kupujícímu.</w:t>
      </w:r>
    </w:p>
    <w:p w14:paraId="4B7A6A65" w14:textId="3050781D" w:rsidR="0034694D" w:rsidRPr="000B023E" w:rsidRDefault="00E6302B" w:rsidP="00ED1EFF">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0B023E">
        <w:rPr>
          <w:rFonts w:ascii="Verdana" w:hAnsi="Verdana" w:cstheme="minorHAnsi"/>
          <w:sz w:val="18"/>
          <w:szCs w:val="18"/>
        </w:rPr>
        <w:t xml:space="preserve">Jednotlivé ceny uvedené </w:t>
      </w:r>
      <w:r w:rsidR="00CB26F1" w:rsidRPr="000B023E">
        <w:rPr>
          <w:rFonts w:ascii="Verdana" w:hAnsi="Verdana" w:cstheme="minorHAnsi"/>
          <w:sz w:val="18"/>
          <w:szCs w:val="18"/>
        </w:rPr>
        <w:t>v</w:t>
      </w:r>
      <w:r w:rsidR="007465F2" w:rsidRPr="000B023E">
        <w:rPr>
          <w:rFonts w:ascii="Verdana" w:hAnsi="Verdana" w:cstheme="minorHAnsi"/>
          <w:sz w:val="18"/>
          <w:szCs w:val="18"/>
        </w:rPr>
        <w:t> jednotkovém ceníku</w:t>
      </w:r>
      <w:r w:rsidR="00CB26F1" w:rsidRPr="000B023E">
        <w:rPr>
          <w:rFonts w:ascii="Verdana" w:hAnsi="Verdana" w:cstheme="minorHAnsi"/>
          <w:sz w:val="18"/>
          <w:szCs w:val="18"/>
        </w:rPr>
        <w:t xml:space="preserve">, který je přílohou č. </w:t>
      </w:r>
      <w:r w:rsidR="007465F2" w:rsidRPr="000B023E">
        <w:rPr>
          <w:rFonts w:ascii="Verdana" w:hAnsi="Verdana" w:cstheme="minorHAnsi"/>
          <w:sz w:val="18"/>
          <w:szCs w:val="18"/>
        </w:rPr>
        <w:t>3</w:t>
      </w:r>
      <w:r w:rsidR="00CB26F1" w:rsidRPr="000B023E">
        <w:rPr>
          <w:rFonts w:ascii="Verdana" w:hAnsi="Verdana" w:cstheme="minorHAnsi"/>
          <w:sz w:val="18"/>
          <w:szCs w:val="18"/>
        </w:rPr>
        <w:t xml:space="preserve"> této Rámcové dohody</w:t>
      </w:r>
      <w:r w:rsidRPr="000B023E">
        <w:rPr>
          <w:rFonts w:ascii="Verdana" w:hAnsi="Verdana" w:cstheme="minorHAnsi"/>
          <w:sz w:val="18"/>
          <w:szCs w:val="18"/>
        </w:rPr>
        <w:t xml:space="preserve">, </w:t>
      </w:r>
      <w:r w:rsidR="00CB26F1" w:rsidRPr="000B023E">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6BF5227D" w:rsidR="00CB26F1" w:rsidRPr="00C215E3" w:rsidRDefault="00CB26F1" w:rsidP="00341112">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w:t>
      </w:r>
      <w:r w:rsidR="000A3CC2" w:rsidRPr="00BB36E1">
        <w:rPr>
          <w:rFonts w:ascii="Verdana" w:hAnsi="Verdana" w:cstheme="minorHAnsi"/>
          <w:sz w:val="18"/>
          <w:szCs w:val="18"/>
        </w:rPr>
        <w:t xml:space="preserve">smlouvy </w:t>
      </w:r>
      <w:r w:rsidRPr="00BB36E1">
        <w:rPr>
          <w:rFonts w:ascii="Verdana" w:hAnsi="Verdana" w:cstheme="minorHAnsi"/>
          <w:sz w:val="18"/>
          <w:szCs w:val="18"/>
        </w:rPr>
        <w:t>bude uhrazena bankovním převodem na bankovní účet Prodávajícího specifikovaný v záhlaví této</w:t>
      </w:r>
      <w:bookmarkStart w:id="0" w:name="_GoBack"/>
      <w:bookmarkEnd w:id="0"/>
      <w:r w:rsidR="001228C5" w:rsidRPr="001954E8">
        <w:rPr>
          <w:rFonts w:ascii="Verdana" w:hAnsi="Verdana" w:cstheme="minorHAnsi"/>
          <w:sz w:val="18"/>
          <w:szCs w:val="18"/>
        </w:rPr>
        <w:t xml:space="preserve"> </w:t>
      </w:r>
      <w:r w:rsidR="00881560" w:rsidRPr="001954E8">
        <w:rPr>
          <w:rFonts w:ascii="Verdana" w:hAnsi="Verdana" w:cstheme="minorHAnsi"/>
          <w:sz w:val="18"/>
          <w:szCs w:val="18"/>
        </w:rPr>
        <w:t>Rámcové</w:t>
      </w:r>
      <w:r w:rsidRPr="001954E8">
        <w:rPr>
          <w:rFonts w:ascii="Verdana" w:hAnsi="Verdana" w:cstheme="minorHAnsi"/>
          <w:sz w:val="18"/>
          <w:szCs w:val="18"/>
        </w:rPr>
        <w:t xml:space="preserve"> dohody</w:t>
      </w:r>
      <w:r w:rsidRPr="000C5CCC">
        <w:rPr>
          <w:rFonts w:ascii="Verdana" w:hAnsi="Verdana" w:cstheme="minorHAnsi"/>
          <w:sz w:val="18"/>
          <w:szCs w:val="18"/>
        </w:rPr>
        <w:t xml:space="preserve">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w:t>
      </w:r>
      <w:r w:rsidRPr="00C215E3">
        <w:rPr>
          <w:rFonts w:ascii="Verdana" w:hAnsi="Verdana" w:cstheme="minorHAnsi"/>
          <w:sz w:val="18"/>
          <w:szCs w:val="18"/>
        </w:rPr>
        <w:t xml:space="preserve">Prodávajícímu dnem převzetí </w:t>
      </w:r>
      <w:r w:rsidR="006007E5" w:rsidRPr="00C215E3">
        <w:rPr>
          <w:rFonts w:ascii="Verdana" w:hAnsi="Verdana" w:cstheme="minorHAnsi"/>
          <w:sz w:val="18"/>
          <w:szCs w:val="18"/>
        </w:rPr>
        <w:t>zboží Kupujícím</w:t>
      </w:r>
      <w:r w:rsidRPr="00C215E3">
        <w:rPr>
          <w:rFonts w:ascii="Verdana" w:hAnsi="Verdana" w:cstheme="minorHAnsi"/>
          <w:sz w:val="18"/>
          <w:szCs w:val="18"/>
        </w:rPr>
        <w:t xml:space="preserve">. Faktura musí mít náležitosti daňového dokladu, její přílohou musí být stejnopis </w:t>
      </w:r>
      <w:r w:rsidR="00A606A2" w:rsidRPr="00C215E3">
        <w:rPr>
          <w:rFonts w:ascii="Verdana" w:hAnsi="Verdana" w:cstheme="minorHAnsi"/>
          <w:sz w:val="18"/>
          <w:szCs w:val="18"/>
        </w:rPr>
        <w:t>D</w:t>
      </w:r>
      <w:r w:rsidRPr="00C215E3">
        <w:rPr>
          <w:rFonts w:ascii="Verdana" w:hAnsi="Verdana" w:cstheme="minorHAnsi"/>
          <w:sz w:val="18"/>
          <w:szCs w:val="18"/>
        </w:rPr>
        <w:t xml:space="preserve">odacího listu s potvrzením převzetí dodávky bez jakýchkoli vad </w:t>
      </w:r>
      <w:r w:rsidR="00681F22" w:rsidRPr="00C215E3">
        <w:rPr>
          <w:rFonts w:ascii="Verdana" w:hAnsi="Verdana" w:cstheme="minorHAnsi"/>
          <w:sz w:val="18"/>
          <w:szCs w:val="18"/>
        </w:rPr>
        <w:t>Kupujícím</w:t>
      </w:r>
      <w:r w:rsidRPr="00C215E3">
        <w:rPr>
          <w:rFonts w:ascii="Verdana" w:hAnsi="Verdana" w:cstheme="minorHAnsi"/>
          <w:sz w:val="18"/>
          <w:szCs w:val="18"/>
        </w:rPr>
        <w:t>. V záhlaví faktury je nutno taktéž uvést číslo objednávky</w:t>
      </w:r>
      <w:r w:rsidR="00A606A2" w:rsidRPr="00C215E3">
        <w:rPr>
          <w:rFonts w:ascii="Verdana" w:hAnsi="Verdana" w:cstheme="minorHAnsi"/>
          <w:sz w:val="18"/>
          <w:szCs w:val="18"/>
        </w:rPr>
        <w:t xml:space="preserve"> a této </w:t>
      </w:r>
      <w:r w:rsidR="00881560" w:rsidRPr="00C215E3">
        <w:rPr>
          <w:rFonts w:ascii="Verdana" w:hAnsi="Verdana" w:cstheme="minorHAnsi"/>
          <w:sz w:val="18"/>
          <w:szCs w:val="18"/>
        </w:rPr>
        <w:t>Rámcové</w:t>
      </w:r>
      <w:r w:rsidR="00A606A2" w:rsidRPr="00C215E3">
        <w:rPr>
          <w:rFonts w:ascii="Verdana" w:hAnsi="Verdana" w:cstheme="minorHAnsi"/>
          <w:sz w:val="18"/>
          <w:szCs w:val="18"/>
        </w:rPr>
        <w:t xml:space="preserve"> dohody</w:t>
      </w:r>
      <w:r w:rsidR="004F3758" w:rsidRPr="00C215E3">
        <w:rPr>
          <w:rFonts w:ascii="Verdana" w:hAnsi="Verdana" w:cstheme="minorHAnsi"/>
          <w:sz w:val="18"/>
          <w:szCs w:val="18"/>
        </w:rPr>
        <w:t>.</w:t>
      </w:r>
    </w:p>
    <w:p w14:paraId="0F6E5B4F" w14:textId="77777777" w:rsidR="00901DFA" w:rsidRPr="00341112" w:rsidRDefault="00901DFA" w:rsidP="00341112">
      <w:pPr>
        <w:pStyle w:val="Nadpis2"/>
        <w:keepNext w:val="0"/>
        <w:widowControl w:val="0"/>
        <w:numPr>
          <w:ilvl w:val="1"/>
          <w:numId w:val="8"/>
        </w:numPr>
        <w:tabs>
          <w:tab w:val="left" w:pos="567"/>
        </w:tabs>
        <w:spacing w:line="276" w:lineRule="auto"/>
        <w:ind w:left="426" w:hanging="426"/>
        <w:rPr>
          <w:rFonts w:ascii="Verdana" w:hAnsi="Verdana" w:cstheme="minorHAnsi"/>
          <w:sz w:val="18"/>
          <w:szCs w:val="18"/>
        </w:rPr>
      </w:pPr>
      <w:r w:rsidRPr="00341112">
        <w:rPr>
          <w:rFonts w:ascii="Verdana" w:hAnsi="Verdana" w:cstheme="minorHAnsi"/>
          <w:sz w:val="18"/>
          <w:szCs w:val="18"/>
        </w:rPr>
        <w:t>Daňové doklady, vč. všech příloh, budou zasílány následovně:</w:t>
      </w:r>
    </w:p>
    <w:p w14:paraId="17B18D57" w14:textId="77777777" w:rsidR="00901DFA" w:rsidRPr="00341112" w:rsidRDefault="00901DFA" w:rsidP="00341112">
      <w:pPr>
        <w:pStyle w:val="Odstavecseseznamem"/>
        <w:widowControl w:val="0"/>
        <w:numPr>
          <w:ilvl w:val="0"/>
          <w:numId w:val="19"/>
        </w:numPr>
        <w:spacing w:after="120"/>
        <w:ind w:left="1077" w:hanging="357"/>
        <w:contextualSpacing w:val="0"/>
        <w:jc w:val="both"/>
        <w:rPr>
          <w:rFonts w:ascii="Verdana" w:hAnsi="Verdana" w:cstheme="minorHAnsi"/>
          <w:sz w:val="18"/>
          <w:szCs w:val="18"/>
        </w:rPr>
      </w:pPr>
      <w:r w:rsidRPr="00341112">
        <w:rPr>
          <w:rFonts w:ascii="Verdana" w:hAnsi="Verdana" w:cstheme="minorHAnsi"/>
          <w:sz w:val="18"/>
          <w:szCs w:val="18"/>
        </w:rPr>
        <w:t xml:space="preserve">v digitální podobě na e-mailovou adresu </w:t>
      </w:r>
      <w:hyperlink r:id="rId13" w:history="1">
        <w:r w:rsidRPr="00341112">
          <w:rPr>
            <w:rStyle w:val="Hypertextovodkaz"/>
            <w:rFonts w:ascii="Verdana" w:hAnsi="Verdana" w:cstheme="minorHAnsi"/>
            <w:sz w:val="18"/>
            <w:szCs w:val="18"/>
          </w:rPr>
          <w:t>ePodatelnaCFU@spravazeleznic.cz</w:t>
        </w:r>
      </w:hyperlink>
      <w:r w:rsidRPr="00341112">
        <w:rPr>
          <w:rFonts w:ascii="Verdana" w:hAnsi="Verdana" w:cstheme="minorHAnsi"/>
          <w:sz w:val="18"/>
          <w:szCs w:val="18"/>
        </w:rPr>
        <w:t>, nebo</w:t>
      </w:r>
    </w:p>
    <w:p w14:paraId="1187F975" w14:textId="77777777" w:rsidR="00901DFA" w:rsidRPr="00341112" w:rsidRDefault="00901DFA" w:rsidP="00341112">
      <w:pPr>
        <w:pStyle w:val="Odstavecseseznamem"/>
        <w:widowControl w:val="0"/>
        <w:numPr>
          <w:ilvl w:val="0"/>
          <w:numId w:val="19"/>
        </w:numPr>
        <w:spacing w:after="120"/>
        <w:ind w:left="1077" w:hanging="357"/>
        <w:contextualSpacing w:val="0"/>
        <w:jc w:val="both"/>
        <w:rPr>
          <w:rFonts w:ascii="Verdana" w:hAnsi="Verdana" w:cstheme="minorHAnsi"/>
          <w:sz w:val="18"/>
          <w:szCs w:val="18"/>
        </w:rPr>
      </w:pPr>
      <w:r w:rsidRPr="00341112">
        <w:rPr>
          <w:rFonts w:ascii="Verdana" w:hAnsi="Verdana" w:cstheme="minorHAnsi"/>
          <w:sz w:val="18"/>
          <w:szCs w:val="18"/>
        </w:rPr>
        <w:t xml:space="preserve">v digitální podobě do datové schránky s identifikátorem </w:t>
      </w:r>
      <w:proofErr w:type="spellStart"/>
      <w:r w:rsidRPr="00341112">
        <w:rPr>
          <w:rFonts w:ascii="Verdana" w:hAnsi="Verdana" w:cstheme="minorHAnsi"/>
          <w:sz w:val="18"/>
          <w:szCs w:val="18"/>
        </w:rPr>
        <w:t>Uccchjm</w:t>
      </w:r>
      <w:proofErr w:type="spellEnd"/>
      <w:r w:rsidRPr="00341112">
        <w:rPr>
          <w:rFonts w:ascii="Verdana" w:hAnsi="Verdana" w:cstheme="minorHAnsi"/>
          <w:sz w:val="18"/>
          <w:szCs w:val="18"/>
        </w:rPr>
        <w:t>, nebo</w:t>
      </w:r>
    </w:p>
    <w:p w14:paraId="2879AF7C" w14:textId="77777777" w:rsidR="00901DFA" w:rsidRPr="00341112" w:rsidRDefault="00901DFA" w:rsidP="00341112">
      <w:pPr>
        <w:pStyle w:val="Odstavecseseznamem"/>
        <w:widowControl w:val="0"/>
        <w:numPr>
          <w:ilvl w:val="0"/>
          <w:numId w:val="19"/>
        </w:numPr>
        <w:spacing w:after="120"/>
        <w:ind w:left="1077" w:hanging="357"/>
        <w:contextualSpacing w:val="0"/>
        <w:jc w:val="both"/>
        <w:rPr>
          <w:rFonts w:ascii="Verdana" w:hAnsi="Verdana" w:cstheme="minorHAnsi"/>
          <w:sz w:val="18"/>
          <w:szCs w:val="18"/>
        </w:rPr>
      </w:pPr>
      <w:r w:rsidRPr="0034111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1112">
        <w:rPr>
          <w:rFonts w:ascii="Verdana" w:hAnsi="Verdana" w:cstheme="minorHAnsi"/>
          <w:sz w:val="18"/>
          <w:szCs w:val="18"/>
        </w:rPr>
        <w:t>Pernera</w:t>
      </w:r>
      <w:proofErr w:type="spellEnd"/>
      <w:r w:rsidRPr="00341112">
        <w:rPr>
          <w:rFonts w:ascii="Verdana" w:hAnsi="Verdana" w:cstheme="minorHAnsi"/>
          <w:sz w:val="18"/>
          <w:szCs w:val="18"/>
        </w:rPr>
        <w:t xml:space="preserve"> 217, 530 02 Pardubice. </w:t>
      </w:r>
    </w:p>
    <w:p w14:paraId="5F4DE171" w14:textId="680C20C5" w:rsidR="00901DFA" w:rsidRPr="0026110E" w:rsidRDefault="00A92237" w:rsidP="00341112">
      <w:pPr>
        <w:widowControl w:val="0"/>
        <w:ind w:left="357"/>
        <w:jc w:val="both"/>
        <w:rPr>
          <w:rFonts w:ascii="Verdana" w:hAnsi="Verdana" w:cstheme="minorHAnsi"/>
          <w:sz w:val="18"/>
          <w:szCs w:val="18"/>
        </w:rPr>
      </w:pPr>
      <w:r w:rsidRPr="00341112">
        <w:rPr>
          <w:rFonts w:ascii="Verdana" w:hAnsi="Verdana" w:cstheme="minorHAnsi"/>
          <w:sz w:val="18"/>
          <w:szCs w:val="18"/>
        </w:rPr>
        <w:t>Kupující</w:t>
      </w:r>
      <w:r w:rsidR="00901DFA" w:rsidRPr="00341112">
        <w:rPr>
          <w:rFonts w:ascii="Verdana" w:hAnsi="Verdana" w:cstheme="minorHAnsi"/>
          <w:sz w:val="18"/>
          <w:szCs w:val="18"/>
        </w:rPr>
        <w:t xml:space="preserve"> upřednostňuje příjem těchto daňových dokladů v digitální podobě </w:t>
      </w:r>
      <w:r w:rsidR="00045B3A" w:rsidRPr="003E35D0">
        <w:rPr>
          <w:rFonts w:ascii="Verdana" w:hAnsi="Verdana" w:cstheme="minorHAnsi"/>
          <w:sz w:val="18"/>
          <w:szCs w:val="18"/>
        </w:rPr>
        <w:t xml:space="preserve">ve formátu PDF/A, ISO 19005, min. verze PDF/A-2b, </w:t>
      </w:r>
      <w:r w:rsidR="00901DFA" w:rsidRPr="003E35D0">
        <w:rPr>
          <w:rFonts w:ascii="Verdana" w:hAnsi="Verdana" w:cstheme="minorHAnsi"/>
          <w:sz w:val="18"/>
          <w:szCs w:val="18"/>
        </w:rPr>
        <w:t>na výše uvedené emailové adrese.</w:t>
      </w:r>
    </w:p>
    <w:p w14:paraId="62731325" w14:textId="5F7CB126" w:rsidR="00045B3A" w:rsidRDefault="00CB26F1" w:rsidP="00341112">
      <w:pPr>
        <w:pStyle w:val="Nadpis2"/>
        <w:keepNext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0799B7" w14:textId="7B44DD82" w:rsidR="00AB0F91" w:rsidRPr="00844697" w:rsidRDefault="0031316B" w:rsidP="00844697">
      <w:pPr>
        <w:pStyle w:val="Odstavecseseznamem"/>
        <w:widowControl w:val="0"/>
        <w:numPr>
          <w:ilvl w:val="1"/>
          <w:numId w:val="8"/>
        </w:numPr>
        <w:ind w:left="426" w:hanging="426"/>
        <w:jc w:val="both"/>
        <w:rPr>
          <w:rFonts w:ascii="Verdana" w:hAnsi="Verdana" w:cstheme="minorHAnsi"/>
          <w:sz w:val="18"/>
          <w:szCs w:val="18"/>
        </w:rPr>
      </w:pPr>
      <w:r w:rsidRPr="00844697">
        <w:rPr>
          <w:rFonts w:ascii="Verdana" w:hAnsi="Verdana"/>
          <w:color w:val="000000"/>
          <w:sz w:val="18"/>
          <w:szCs w:val="18"/>
        </w:rPr>
        <w:t>V případě dodávání předmětu plnění více Prodávajícími v souladu s jejich společnou nabídkou nesou odpovědnost za plnění jejich povinností z Rámcové dohody všichni prodávající společně a nerozdílně. Vedoucí prodávající (dále jen „Vedoucí Prodávající“) prohlašuje, že je oprávněn ve věcech Rámcové dohody zastupovat každého z Prodávajících, jakož i všechny Prodávající společně, a je oprávněn rovněž za ně přijímat pokyny a platby Kupujícího. Vystavovat daňové doklady - faktury za činnosti vykonávané v případech dodávání předmětu plnění více Prodávajícími v souladu s jejich společnou nabídkou je povinen vůči Kupujícímu pouze Vedoucí Prodávající, tj. na daňovém dokladu bude uveden (identifikován) jako osoba uskutečňující ekonomickou činnost jako poskytovatel služby (v souladu se zákonem č.235/2004 Sb. o dani z přidané hodnoty).</w:t>
      </w:r>
    </w:p>
    <w:p w14:paraId="584EA7F3" w14:textId="468ECF3C" w:rsidR="00CB26F1"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lastRenderedPageBreak/>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2E430630" w:rsidR="00CB26F1" w:rsidRPr="008B5521" w:rsidRDefault="003520AB" w:rsidP="00341112">
      <w:pPr>
        <w:pStyle w:val="acnormal"/>
        <w:widowControl w:val="0"/>
        <w:numPr>
          <w:ilvl w:val="0"/>
          <w:numId w:val="9"/>
        </w:numPr>
        <w:ind w:left="426" w:hanging="426"/>
        <w:rPr>
          <w:rFonts w:ascii="Verdana" w:hAnsi="Verdana" w:cstheme="minorHAnsi"/>
          <w:sz w:val="18"/>
          <w:szCs w:val="18"/>
        </w:rPr>
      </w:pPr>
      <w:r w:rsidRPr="003520AB">
        <w:rPr>
          <w:rFonts w:ascii="Verdana" w:hAnsi="Verdana" w:cstheme="minorHAnsi"/>
          <w:sz w:val="18"/>
          <w:szCs w:val="18"/>
        </w:rPr>
        <w:t>Minimální doba spotřeby bude 6 měsíců od data dodání</w:t>
      </w:r>
      <w:r>
        <w:rPr>
          <w:rFonts w:ascii="Verdana" w:hAnsi="Verdana" w:cstheme="minorHAnsi"/>
          <w:sz w:val="18"/>
          <w:szCs w:val="18"/>
        </w:rPr>
        <w:t>.</w:t>
      </w:r>
    </w:p>
    <w:p w14:paraId="24029692" w14:textId="77777777"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341112">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2D0C3FD3"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w:t>
      </w:r>
      <w:r w:rsidR="007C6257">
        <w:rPr>
          <w:rFonts w:ascii="Verdana" w:hAnsi="Verdana" w:cstheme="minorHAnsi"/>
          <w:sz w:val="18"/>
          <w:szCs w:val="18"/>
        </w:rPr>
        <w:t>ícího odstavce této rámcové dohody</w:t>
      </w:r>
      <w:r w:rsidRPr="008B5521">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341112">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w:t>
      </w:r>
      <w:r w:rsidR="000A53AE" w:rsidRPr="003B1469">
        <w:rPr>
          <w:rFonts w:ascii="Verdana" w:hAnsi="Verdana" w:cstheme="minorHAnsi"/>
          <w:sz w:val="18"/>
          <w:szCs w:val="18"/>
        </w:rPr>
        <w:t xml:space="preserve">poddodavatele uvedené v příloze č. 4 této </w:t>
      </w:r>
      <w:r w:rsidR="00881560" w:rsidRPr="003B1469">
        <w:rPr>
          <w:rFonts w:ascii="Verdana" w:hAnsi="Verdana" w:cstheme="minorHAnsi"/>
          <w:sz w:val="18"/>
          <w:szCs w:val="18"/>
        </w:rPr>
        <w:lastRenderedPageBreak/>
        <w:t xml:space="preserve">Rámcové </w:t>
      </w:r>
      <w:r w:rsidR="000A53AE" w:rsidRPr="003B1469">
        <w:rPr>
          <w:rFonts w:ascii="Verdana" w:hAnsi="Verdana" w:cstheme="minorHAnsi"/>
          <w:sz w:val="18"/>
          <w:szCs w:val="18"/>
        </w:rPr>
        <w:t xml:space="preserve">dohody. Poddodavatele neuvedeného v příloze č. 4 této </w:t>
      </w:r>
      <w:r w:rsidR="00881560" w:rsidRPr="003B1469">
        <w:rPr>
          <w:rFonts w:ascii="Verdana" w:hAnsi="Verdana" w:cstheme="minorHAnsi"/>
          <w:sz w:val="18"/>
          <w:szCs w:val="18"/>
        </w:rPr>
        <w:t xml:space="preserve">Rámcové </w:t>
      </w:r>
      <w:r w:rsidR="000A53AE" w:rsidRPr="003B1469">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3B1469">
        <w:rPr>
          <w:rFonts w:ascii="Verdana" w:hAnsi="Verdana" w:cstheme="minorHAnsi"/>
          <w:sz w:val="18"/>
          <w:szCs w:val="18"/>
        </w:rPr>
        <w:t xml:space="preserve"> a uzavření písemného dodatku k této rámcové dohodě</w:t>
      </w:r>
      <w:r w:rsidR="000A53AE" w:rsidRPr="003B1469">
        <w:rPr>
          <w:rFonts w:ascii="Verdana" w:hAnsi="Verdana" w:cstheme="minorHAnsi"/>
          <w:sz w:val="18"/>
          <w:szCs w:val="18"/>
        </w:rPr>
        <w:t xml:space="preserve">. V případě, že Prodávající žádá o změnu poddodavatele uvedeného v příloze č. 4 této </w:t>
      </w:r>
      <w:r w:rsidR="00881560" w:rsidRPr="003B1469">
        <w:rPr>
          <w:rFonts w:ascii="Verdana" w:hAnsi="Verdana" w:cstheme="minorHAnsi"/>
          <w:sz w:val="18"/>
          <w:szCs w:val="18"/>
        </w:rPr>
        <w:t xml:space="preserve">Rámcové </w:t>
      </w:r>
      <w:r w:rsidR="000A53AE" w:rsidRPr="003B1469">
        <w:rPr>
          <w:rFonts w:ascii="Verdana" w:hAnsi="Verdana" w:cstheme="minorHAnsi"/>
          <w:sz w:val="18"/>
          <w:szCs w:val="18"/>
        </w:rPr>
        <w:t>dohody, prostřednictvím kterého prokazoval část kvalifikace v zadávacím řízení</w:t>
      </w:r>
      <w:r w:rsidR="000A53AE" w:rsidRPr="008B5521">
        <w:rPr>
          <w:rFonts w:ascii="Verdana" w:hAnsi="Verdana" w:cstheme="minorHAnsi"/>
          <w:sz w:val="18"/>
          <w:szCs w:val="18"/>
        </w:rPr>
        <w:t>,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9B79861" w14:textId="70CB0E8C" w:rsidR="00367487" w:rsidRPr="00A65676" w:rsidRDefault="00E0510B" w:rsidP="00A65676">
      <w:pPr>
        <w:pStyle w:val="Odstavecseseznamem"/>
        <w:widowControl w:val="0"/>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00A65676">
        <w:rPr>
          <w:rStyle w:val="Hypertextovodkaz"/>
          <w:rFonts w:ascii="Verdana" w:hAnsi="Verdana" w:cstheme="minorHAnsi"/>
          <w:sz w:val="18"/>
          <w:szCs w:val="18"/>
        </w:rPr>
        <w:t>.</w:t>
      </w:r>
    </w:p>
    <w:p w14:paraId="05178E0F" w14:textId="6D8BE611" w:rsidR="00367487" w:rsidRDefault="00367487" w:rsidP="00341112">
      <w:pPr>
        <w:pStyle w:val="acnormal"/>
        <w:widowControl w:val="0"/>
        <w:numPr>
          <w:ilvl w:val="0"/>
          <w:numId w:val="4"/>
        </w:numPr>
        <w:spacing w:before="360" w:after="240"/>
        <w:ind w:left="714" w:hanging="357"/>
        <w:jc w:val="left"/>
        <w:rPr>
          <w:rFonts w:ascii="Verdana" w:hAnsi="Verdana" w:cstheme="minorHAnsi"/>
          <w:b/>
          <w:sz w:val="22"/>
        </w:rPr>
      </w:pPr>
      <w:r>
        <w:rPr>
          <w:rFonts w:ascii="Verdana" w:hAnsi="Verdana" w:cstheme="minorHAnsi"/>
          <w:b/>
          <w:sz w:val="22"/>
        </w:rPr>
        <w:t>STŘET ZÁJMŮ, POVINNOSTI PRODÁVAJÍCÍHO V SOUVISLOSTI S KONFLIKTEM NA UKRAJINĚ</w:t>
      </w:r>
    </w:p>
    <w:p w14:paraId="5D94A65F" w14:textId="77777777" w:rsidR="00367487" w:rsidRPr="00CF3ED5" w:rsidRDefault="00367487" w:rsidP="00367487">
      <w:pPr>
        <w:numPr>
          <w:ilvl w:val="0"/>
          <w:numId w:val="23"/>
        </w:numPr>
        <w:spacing w:before="120" w:after="120"/>
        <w:jc w:val="both"/>
        <w:rPr>
          <w:rFonts w:ascii="Verdana" w:hAnsi="Verdana" w:cstheme="minorHAnsi"/>
          <w:sz w:val="18"/>
          <w:szCs w:val="18"/>
        </w:rPr>
      </w:pPr>
      <w:proofErr w:type="gramStart"/>
      <w:r>
        <w:rPr>
          <w:rFonts w:ascii="Verdana" w:hAnsi="Verdana" w:cstheme="minorHAnsi"/>
          <w:sz w:val="18"/>
          <w:szCs w:val="18"/>
        </w:rPr>
        <w:t>Prodávající</w:t>
      </w:r>
      <w:proofErr w:type="gramEnd"/>
      <w:r w:rsidRPr="00CF3ED5">
        <w:rPr>
          <w:rFonts w:ascii="Verdana" w:hAnsi="Verdana" w:cstheme="minorHAnsi"/>
          <w:sz w:val="18"/>
          <w:szCs w:val="18"/>
        </w:rPr>
        <w:t xml:space="preserve"> prohlašuje, že není obchodní společností, ve které veřejný funkcionář uvedený v </w:t>
      </w:r>
      <w:proofErr w:type="gramStart"/>
      <w:r w:rsidRPr="00CF3ED5">
        <w:rPr>
          <w:rFonts w:ascii="Verdana" w:hAnsi="Verdana" w:cstheme="minorHAnsi"/>
          <w:sz w:val="18"/>
          <w:szCs w:val="18"/>
        </w:rPr>
        <w:t>ust.</w:t>
      </w:r>
      <w:proofErr w:type="gram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ABF7908" w14:textId="77777777" w:rsidR="00367487" w:rsidRPr="00CF3ED5" w:rsidRDefault="00367487" w:rsidP="006F307C">
      <w:pPr>
        <w:numPr>
          <w:ilvl w:val="0"/>
          <w:numId w:val="23"/>
        </w:numPr>
        <w:spacing w:before="120" w:after="120"/>
        <w:ind w:left="426" w:hanging="284"/>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0E92FEAD" w14:textId="77777777" w:rsidR="00367487" w:rsidRPr="00CF3ED5" w:rsidRDefault="00367487" w:rsidP="00367487">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840F35D" w14:textId="77777777" w:rsidR="00367487" w:rsidRPr="00CF3ED5" w:rsidRDefault="00367487" w:rsidP="00367487">
      <w:pPr>
        <w:pStyle w:val="acnormal"/>
        <w:numPr>
          <w:ilvl w:val="0"/>
          <w:numId w:val="22"/>
        </w:numPr>
        <w:tabs>
          <w:tab w:val="left" w:pos="709"/>
        </w:tabs>
        <w:spacing w:after="0"/>
        <w:rPr>
          <w:rFonts w:ascii="Verdana" w:hAnsi="Verdana" w:cstheme="minorHAnsi"/>
          <w:sz w:val="18"/>
          <w:szCs w:val="18"/>
        </w:rPr>
      </w:pPr>
      <w:r w:rsidRPr="00CF3ED5">
        <w:rPr>
          <w:rFonts w:ascii="Verdana" w:hAnsi="Verdana" w:cstheme="minorHAnsi"/>
          <w:sz w:val="18"/>
          <w:szCs w:val="18"/>
        </w:rPr>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2EC4F953" w14:textId="39130ABF"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 a to bez ohledu na právní formu tohoto sdružení.</w:t>
      </w:r>
    </w:p>
    <w:p w14:paraId="559DA404" w14:textId="0431FC40"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1BAA1681" w14:textId="77777777"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w:t>
      </w:r>
      <w:r w:rsidRPr="00CF3ED5">
        <w:rPr>
          <w:rFonts w:ascii="Verdana" w:hAnsi="Verdana" w:cstheme="minorHAnsi"/>
          <w:sz w:val="18"/>
          <w:szCs w:val="18"/>
        </w:rPr>
        <w:lastRenderedPageBreak/>
        <w:t>proti Ukrajině, ve znění pozdějších předpisů, a dalších prováděcích předpisů k tomuto nařízení Rady (EU) č. 269/2014.</w:t>
      </w:r>
    </w:p>
    <w:p w14:paraId="672E1FAA" w14:textId="77777777" w:rsidR="00367487" w:rsidRPr="00CF3ED5" w:rsidRDefault="00367487" w:rsidP="006F307C">
      <w:pPr>
        <w:pStyle w:val="acnormal"/>
        <w:numPr>
          <w:ilvl w:val="0"/>
          <w:numId w:val="23"/>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6F819D90" w14:textId="2DAE11AF" w:rsidR="00367487" w:rsidRPr="005609AE" w:rsidRDefault="00367487" w:rsidP="006F307C">
      <w:pPr>
        <w:pStyle w:val="acnormal"/>
        <w:numPr>
          <w:ilvl w:val="0"/>
          <w:numId w:val="23"/>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sidRPr="003B1469">
        <w:rPr>
          <w:rFonts w:ascii="Verdana" w:hAnsi="Verdana" w:cstheme="minorHAnsi"/>
          <w:sz w:val="18"/>
          <w:szCs w:val="18"/>
        </w:rPr>
        <w:t xml:space="preserve">odstavce 1 a 2 tohoto článku VII jako nepravdivá nebo poruší-li Prodávající svou oznamovací povinnost dle odstavce 4 tohoto článku </w:t>
      </w:r>
      <w:r w:rsidR="003B1469" w:rsidRPr="003B1469">
        <w:rPr>
          <w:rFonts w:ascii="Verdana" w:hAnsi="Verdana" w:cstheme="minorHAnsi"/>
          <w:sz w:val="18"/>
          <w:szCs w:val="18"/>
        </w:rPr>
        <w:t>VII</w:t>
      </w:r>
      <w:r w:rsidRPr="003B1469">
        <w:rPr>
          <w:rFonts w:ascii="Verdana" w:hAnsi="Verdana" w:cstheme="minorHAnsi"/>
          <w:sz w:val="18"/>
          <w:szCs w:val="18"/>
        </w:rPr>
        <w:t xml:space="preserve"> nebo povinnosti dle odstavců 5 nebo 6 tohoto článku </w:t>
      </w:r>
      <w:r w:rsidR="003B1469" w:rsidRPr="003B1469">
        <w:rPr>
          <w:rFonts w:ascii="Verdana" w:hAnsi="Verdana" w:cstheme="minorHAnsi"/>
          <w:sz w:val="18"/>
          <w:szCs w:val="18"/>
        </w:rPr>
        <w:t>VII</w:t>
      </w:r>
      <w:r w:rsidRPr="003B1469">
        <w:rPr>
          <w:rFonts w:ascii="Verdana" w:hAnsi="Verdana" w:cstheme="minorHAnsi"/>
          <w:sz w:val="18"/>
          <w:szCs w:val="18"/>
        </w:rPr>
        <w:t>, je Kupující</w:t>
      </w:r>
      <w:r w:rsidRPr="00CF3ED5">
        <w:rPr>
          <w:rFonts w:ascii="Verdana" w:hAnsi="Verdana" w:cstheme="minorHAnsi"/>
          <w:sz w:val="18"/>
          <w:szCs w:val="18"/>
        </w:rPr>
        <w:t xml:space="preserve"> oprávněn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Pr>
          <w:rFonts w:ascii="Verdana" w:hAnsi="Verdana" w:cstheme="minorHAnsi"/>
          <w:sz w:val="18"/>
          <w:szCs w:val="18"/>
        </w:rPr>
        <w:t xml:space="preserve"> Kupující je vedle toho oprávněn odstoupit od těch dílčích smluv uzavřených na základě této Rámcové dohody, které ještě nebyly splněny. Kupující je oprávněn odstoupit od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smluvní pokutu ve výši </w:t>
      </w:r>
      <w:r w:rsidRPr="00397D80">
        <w:rPr>
          <w:rFonts w:ascii="Verdana" w:hAnsi="Verdana" w:cstheme="minorHAnsi"/>
          <w:sz w:val="18"/>
          <w:szCs w:val="18"/>
        </w:rPr>
        <w:t>300.000 Kč.</w:t>
      </w:r>
      <w:r>
        <w:rPr>
          <w:rFonts w:ascii="Verdana" w:hAnsi="Verdana" w:cstheme="minorHAnsi"/>
          <w:sz w:val="18"/>
          <w:szCs w:val="18"/>
        </w:rPr>
        <w:t xml:space="preserve"> </w:t>
      </w:r>
      <w:r w:rsidRPr="00CF3ED5">
        <w:rPr>
          <w:rFonts w:ascii="Verdana" w:hAnsi="Verdana" w:cstheme="minorHAnsi"/>
          <w:sz w:val="18"/>
          <w:szCs w:val="18"/>
        </w:rPr>
        <w:t xml:space="preserve">Ustanovení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Pr="00CF3ED5">
        <w:rPr>
          <w:rFonts w:ascii="Verdana" w:hAnsi="Verdana" w:cstheme="minorHAnsi"/>
          <w:sz w:val="18"/>
          <w:szCs w:val="18"/>
        </w:rPr>
        <w:t>.</w:t>
      </w:r>
    </w:p>
    <w:p w14:paraId="2B061955" w14:textId="77777777" w:rsidR="00367487" w:rsidRDefault="00367487" w:rsidP="00367487">
      <w:pPr>
        <w:pStyle w:val="acnormal"/>
        <w:widowControl w:val="0"/>
        <w:spacing w:before="360" w:after="240"/>
        <w:ind w:left="714"/>
        <w:jc w:val="left"/>
        <w:rPr>
          <w:rFonts w:ascii="Verdana" w:hAnsi="Verdana" w:cstheme="minorHAnsi"/>
          <w:b/>
          <w:sz w:val="22"/>
        </w:rPr>
      </w:pPr>
    </w:p>
    <w:p w14:paraId="73F400CB" w14:textId="10CF8B16" w:rsidR="00CC5257" w:rsidRPr="008B5521" w:rsidRDefault="008B5521" w:rsidP="00341112">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341112">
      <w:pPr>
        <w:pStyle w:val="acnormal"/>
        <w:widowControl w:val="0"/>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21B3213E" w14:textId="2D78BD79" w:rsidR="008135F0" w:rsidRPr="008B5521" w:rsidRDefault="008135F0" w:rsidP="00341112">
      <w:pPr>
        <w:pStyle w:val="Odstavecseseznamem"/>
        <w:widowControl w:val="0"/>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A73798">
        <w:rPr>
          <w:rFonts w:ascii="Verdana" w:hAnsi="Verdana" w:cstheme="minorHAnsi"/>
          <w:sz w:val="18"/>
          <w:szCs w:val="18"/>
        </w:rPr>
        <w:t>Kühnelová Soňa</w:t>
      </w:r>
      <w:r w:rsidR="007F03C6" w:rsidRPr="008B5521">
        <w:rPr>
          <w:rFonts w:ascii="Verdana" w:hAnsi="Verdana" w:cstheme="minorHAnsi"/>
          <w:sz w:val="18"/>
          <w:szCs w:val="18"/>
        </w:rPr>
        <w:t xml:space="preserve">, </w:t>
      </w:r>
      <w:hyperlink r:id="rId15" w:history="1">
        <w:r w:rsidR="00A73798" w:rsidRPr="00BE4224">
          <w:rPr>
            <w:rStyle w:val="Hypertextovodkaz"/>
            <w:rFonts w:ascii="Verdana" w:hAnsi="Verdana"/>
            <w:sz w:val="18"/>
            <w:szCs w:val="18"/>
          </w:rPr>
          <w:t>Kuhnelova@spravazeleznic.cz</w:t>
        </w:r>
      </w:hyperlink>
      <w:r w:rsidR="007F03C6" w:rsidRPr="008B5521">
        <w:rPr>
          <w:rFonts w:ascii="Verdana" w:hAnsi="Verdana" w:cstheme="minorHAnsi"/>
          <w:sz w:val="18"/>
          <w:szCs w:val="18"/>
        </w:rPr>
        <w:t>,</w:t>
      </w:r>
      <w:r w:rsidR="00A73798">
        <w:rPr>
          <w:rFonts w:ascii="Verdana" w:hAnsi="Verdana" w:cstheme="minorHAnsi"/>
          <w:sz w:val="18"/>
          <w:szCs w:val="18"/>
        </w:rPr>
        <w:tab/>
      </w:r>
      <w:r w:rsidR="00A73798">
        <w:rPr>
          <w:rFonts w:ascii="Verdana" w:hAnsi="Verdana" w:cstheme="minorHAnsi"/>
          <w:sz w:val="18"/>
          <w:szCs w:val="18"/>
        </w:rPr>
        <w:tab/>
      </w:r>
      <w:r w:rsidR="00A73798">
        <w:rPr>
          <w:rFonts w:ascii="Verdana" w:hAnsi="Verdana" w:cstheme="minorHAnsi"/>
          <w:sz w:val="18"/>
          <w:szCs w:val="18"/>
        </w:rPr>
        <w:tab/>
      </w:r>
      <w:r w:rsidR="007F03C6" w:rsidRPr="008B5521">
        <w:rPr>
          <w:rFonts w:ascii="Verdana" w:hAnsi="Verdana" w:cstheme="minorHAnsi"/>
          <w:sz w:val="18"/>
          <w:szCs w:val="18"/>
        </w:rPr>
        <w:t xml:space="preserve">tel.: </w:t>
      </w:r>
      <w:r w:rsidR="00A73798">
        <w:rPr>
          <w:rFonts w:ascii="Verdana" w:hAnsi="Verdana" w:cstheme="minorHAnsi"/>
          <w:sz w:val="18"/>
          <w:szCs w:val="18"/>
        </w:rPr>
        <w:t>+420 602 435 476</w:t>
      </w:r>
    </w:p>
    <w:p w14:paraId="700F0137" w14:textId="77777777" w:rsidR="008135F0" w:rsidRPr="008B5521" w:rsidRDefault="008135F0" w:rsidP="00341112">
      <w:pPr>
        <w:pStyle w:val="Odstavecseseznamem"/>
        <w:widowControl w:val="0"/>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w:t>
      </w:r>
      <w:proofErr w:type="gramEnd"/>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66BAF4DF" w14:textId="2D5D104D" w:rsidR="00966347" w:rsidRDefault="00935934" w:rsidP="00341112">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341112">
      <w:pPr>
        <w:widowControl w:val="0"/>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1700626" w:rsidR="0070422F" w:rsidRPr="008B5521" w:rsidRDefault="008135F0"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D15029">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63DD533D" w:rsidR="00C91666" w:rsidRPr="002F1CB9" w:rsidRDefault="00C91666" w:rsidP="00341112">
      <w:pPr>
        <w:widowControl w:val="0"/>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 xml:space="preserve">"[VLOŽÍ </w:t>
      </w:r>
      <w:r w:rsidR="00906C04">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vyhotoveních, z nichž </w:t>
      </w:r>
      <w:r w:rsidR="008614CD">
        <w:rPr>
          <w:rFonts w:ascii="Verdana" w:hAnsi="Verdana" w:cstheme="minorHAnsi"/>
          <w:sz w:val="18"/>
          <w:szCs w:val="18"/>
        </w:rPr>
        <w:t>Kupující</w:t>
      </w:r>
      <w:r w:rsidRPr="002F1CB9">
        <w:rPr>
          <w:rFonts w:ascii="Verdana" w:hAnsi="Verdana" w:cstheme="minorHAnsi"/>
          <w:sz w:val="18"/>
          <w:szCs w:val="18"/>
        </w:rPr>
        <w:t xml:space="preserve"> </w:t>
      </w:r>
      <w:r w:rsidRPr="0072573F">
        <w:rPr>
          <w:rFonts w:ascii="Verdana" w:hAnsi="Verdana" w:cstheme="minorHAnsi"/>
          <w:sz w:val="18"/>
          <w:szCs w:val="18"/>
        </w:rPr>
        <w:t xml:space="preserve">obdrží </w:t>
      </w:r>
      <w:r w:rsidR="00906C04" w:rsidRPr="0072573F">
        <w:rPr>
          <w:rFonts w:ascii="Verdana" w:hAnsi="Verdana" w:cstheme="minorHAnsi"/>
          <w:b/>
          <w:sz w:val="18"/>
          <w:szCs w:val="18"/>
        </w:rPr>
        <w:t>2</w:t>
      </w:r>
      <w:r w:rsidR="00906C04" w:rsidRPr="0072573F">
        <w:rPr>
          <w:rFonts w:ascii="Verdana" w:hAnsi="Verdana" w:cstheme="minorHAnsi"/>
          <w:sz w:val="18"/>
          <w:szCs w:val="18"/>
        </w:rPr>
        <w:t xml:space="preserve"> (dvě)</w:t>
      </w:r>
      <w:r w:rsidRPr="002F1CB9">
        <w:rPr>
          <w:rFonts w:ascii="Verdana" w:hAnsi="Verdana" w:cstheme="minorHAnsi"/>
          <w:sz w:val="18"/>
          <w:szCs w:val="18"/>
        </w:rPr>
        <w:t xml:space="preserve"> vyhotovení a </w:t>
      </w:r>
      <w:r w:rsidR="008614CD">
        <w:rPr>
          <w:rFonts w:ascii="Verdana" w:hAnsi="Verdana" w:cstheme="minorHAnsi"/>
          <w:sz w:val="18"/>
          <w:szCs w:val="18"/>
        </w:rPr>
        <w:t>Prodávající</w:t>
      </w:r>
      <w:r w:rsidRPr="002F1CB9">
        <w:rPr>
          <w:rFonts w:ascii="Verdana" w:hAnsi="Verdana" w:cstheme="minorHAnsi"/>
          <w:sz w:val="18"/>
          <w:szCs w:val="18"/>
        </w:rPr>
        <w:t xml:space="preserve"> obdrží </w:t>
      </w:r>
      <w:r w:rsidRPr="0026110E">
        <w:rPr>
          <w:rFonts w:ascii="Verdana" w:hAnsi="Verdana" w:cstheme="minorHAnsi"/>
          <w:sz w:val="18"/>
          <w:szCs w:val="18"/>
          <w:highlight w:val="yellow"/>
        </w:rPr>
        <w:t xml:space="preserve">"[VLOŽÍ </w:t>
      </w:r>
      <w:r w:rsidR="00906C04">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w:t>
      </w:r>
    </w:p>
    <w:p w14:paraId="41A88E4E" w14:textId="74616AD5" w:rsidR="007F6ADE" w:rsidRPr="008B5521" w:rsidRDefault="006F1EC7" w:rsidP="00341112">
      <w:pPr>
        <w:widowControl w:val="0"/>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w:t>
      </w:r>
      <w:r w:rsidRPr="00C91666">
        <w:rPr>
          <w:rFonts w:ascii="Verdana" w:hAnsi="Verdana" w:cstheme="minorHAnsi"/>
          <w:sz w:val="18"/>
          <w:szCs w:val="18"/>
        </w:rPr>
        <w:lastRenderedPageBreak/>
        <w:t xml:space="preserve">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341112">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341112">
      <w:pPr>
        <w:widowControl w:val="0"/>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341112">
      <w:pPr>
        <w:widowControl w:val="0"/>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341112">
      <w:pPr>
        <w:pStyle w:val="Zkladntext21"/>
        <w:widowControl w:val="0"/>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61DA5720" w:rsidR="007465F2" w:rsidRPr="008B5521" w:rsidRDefault="007465F2" w:rsidP="00341112">
      <w:pPr>
        <w:pStyle w:val="Zkladntext21"/>
        <w:widowControl w:val="0"/>
        <w:spacing w:line="276" w:lineRule="auto"/>
        <w:ind w:right="-22"/>
        <w:rPr>
          <w:rFonts w:ascii="Verdana" w:hAnsi="Verdana" w:cstheme="minorHAnsi"/>
          <w:sz w:val="18"/>
          <w:szCs w:val="18"/>
        </w:rPr>
      </w:pPr>
      <w:r w:rsidRPr="008B5521">
        <w:rPr>
          <w:rFonts w:ascii="Verdana" w:hAnsi="Verdana" w:cstheme="minorHAnsi"/>
          <w:sz w:val="18"/>
          <w:szCs w:val="18"/>
        </w:rPr>
        <w:t>Příloha č. 1 – Obc</w:t>
      </w:r>
      <w:r w:rsidR="006A6000">
        <w:rPr>
          <w:rFonts w:ascii="Verdana" w:hAnsi="Verdana" w:cstheme="minorHAnsi"/>
          <w:sz w:val="18"/>
          <w:szCs w:val="18"/>
        </w:rPr>
        <w:t>hodní podmínky k rámcové dohodě</w:t>
      </w:r>
    </w:p>
    <w:p w14:paraId="6517756B" w14:textId="3F6A3613" w:rsidR="00CB26F1" w:rsidRPr="008B5521" w:rsidRDefault="00CB26F1" w:rsidP="00341112">
      <w:pPr>
        <w:pStyle w:val="Zkladntext21"/>
        <w:widowControl w:val="0"/>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1B1572">
        <w:rPr>
          <w:rFonts w:ascii="Verdana" w:hAnsi="Verdana" w:cstheme="minorHAnsi"/>
          <w:sz w:val="18"/>
          <w:szCs w:val="18"/>
        </w:rPr>
        <w:t>Dodací místa</w:t>
      </w:r>
    </w:p>
    <w:p w14:paraId="3AEF83ED" w14:textId="77777777" w:rsidR="00935934" w:rsidRPr="008B5521" w:rsidRDefault="00935934" w:rsidP="00341112">
      <w:pPr>
        <w:pStyle w:val="Zkladntext21"/>
        <w:widowControl w:val="0"/>
        <w:spacing w:line="276" w:lineRule="auto"/>
        <w:ind w:right="-22"/>
        <w:jc w:val="left"/>
        <w:rPr>
          <w:rFonts w:ascii="Verdana" w:hAnsi="Verdana" w:cstheme="minorHAnsi"/>
          <w:sz w:val="18"/>
          <w:szCs w:val="18"/>
        </w:rPr>
      </w:pPr>
      <w:r w:rsidRPr="001B1572">
        <w:rPr>
          <w:rFonts w:ascii="Verdana" w:hAnsi="Verdana" w:cstheme="minorHAnsi"/>
          <w:sz w:val="18"/>
          <w:szCs w:val="18"/>
        </w:rPr>
        <w:t>Příloha č. 3 – Jednotkový ceník dodávaného zboží</w:t>
      </w:r>
    </w:p>
    <w:p w14:paraId="14D810A5" w14:textId="0DDDC722" w:rsidR="006A4A0B" w:rsidRDefault="006A4A0B" w:rsidP="00341112">
      <w:pPr>
        <w:pStyle w:val="Zkladntext21"/>
        <w:widowControl w:val="0"/>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45838F65" w14:textId="77777777" w:rsidR="00045B3A" w:rsidRDefault="00045B3A" w:rsidP="00341112">
      <w:pPr>
        <w:pStyle w:val="Zkladntext21"/>
        <w:widowControl w:val="0"/>
        <w:spacing w:line="276" w:lineRule="auto"/>
        <w:ind w:right="-22"/>
        <w:jc w:val="left"/>
        <w:rPr>
          <w:rFonts w:ascii="Verdana" w:hAnsi="Verdana" w:cstheme="minorHAnsi"/>
          <w:sz w:val="18"/>
          <w:szCs w:val="18"/>
        </w:rPr>
      </w:pPr>
      <w:r>
        <w:rPr>
          <w:rFonts w:ascii="Verdana" w:hAnsi="Verdana" w:cstheme="minorHAnsi"/>
          <w:sz w:val="18"/>
          <w:szCs w:val="18"/>
        </w:rPr>
        <w:t>Příloha č. 5 – Analýza nebezpečí a hodnocení rizik</w:t>
      </w:r>
    </w:p>
    <w:p w14:paraId="6320FF57" w14:textId="455906B6" w:rsidR="00045B3A" w:rsidRDefault="00045B3A" w:rsidP="00341112">
      <w:pPr>
        <w:pStyle w:val="Zkladntext21"/>
        <w:widowControl w:val="0"/>
        <w:spacing w:line="276" w:lineRule="auto"/>
        <w:ind w:right="-22"/>
        <w:jc w:val="left"/>
        <w:rPr>
          <w:rFonts w:ascii="Verdana" w:hAnsi="Verdana" w:cstheme="minorHAnsi"/>
          <w:sz w:val="18"/>
          <w:szCs w:val="18"/>
        </w:rPr>
      </w:pPr>
      <w:r>
        <w:rPr>
          <w:rFonts w:ascii="Verdana" w:hAnsi="Verdana" w:cstheme="minorHAnsi"/>
          <w:sz w:val="18"/>
          <w:szCs w:val="18"/>
        </w:rPr>
        <w:t xml:space="preserve">Příloha č. 6 </w:t>
      </w:r>
      <w:r w:rsidR="00AB3E64">
        <w:rPr>
          <w:rFonts w:ascii="Verdana" w:hAnsi="Verdana" w:cstheme="minorHAnsi"/>
          <w:sz w:val="18"/>
          <w:szCs w:val="18"/>
        </w:rPr>
        <w:t xml:space="preserve">- </w:t>
      </w:r>
      <w:r w:rsidRPr="00D82D9C">
        <w:rPr>
          <w:rFonts w:ascii="Verdana" w:hAnsi="Verdana" w:cstheme="minorHAnsi"/>
          <w:sz w:val="18"/>
          <w:szCs w:val="18"/>
        </w:rPr>
        <w:t>Opatření pro postup v případě anonymního oznámení o</w:t>
      </w:r>
      <w:r>
        <w:rPr>
          <w:rFonts w:ascii="Verdana" w:hAnsi="Verdana" w:cstheme="minorHAnsi"/>
          <w:sz w:val="18"/>
          <w:szCs w:val="18"/>
        </w:rPr>
        <w:t xml:space="preserve"> NVS</w:t>
      </w:r>
    </w:p>
    <w:p w14:paraId="102D2C8F" w14:textId="77777777" w:rsidR="00045B3A" w:rsidRPr="008B5521" w:rsidRDefault="00045B3A" w:rsidP="00341112">
      <w:pPr>
        <w:pStyle w:val="Zkladntext21"/>
        <w:widowControl w:val="0"/>
        <w:spacing w:line="276" w:lineRule="auto"/>
        <w:ind w:right="-22"/>
        <w:jc w:val="left"/>
        <w:rPr>
          <w:rFonts w:ascii="Verdana" w:hAnsi="Verdana" w:cstheme="minorHAnsi"/>
          <w:sz w:val="18"/>
          <w:szCs w:val="18"/>
        </w:rPr>
      </w:pPr>
    </w:p>
    <w:p w14:paraId="11A4F397" w14:textId="77777777" w:rsidR="00935934" w:rsidRPr="008B5521" w:rsidRDefault="00935934" w:rsidP="00341112">
      <w:pPr>
        <w:pStyle w:val="Zkladntext21"/>
        <w:widowControl w:val="0"/>
        <w:spacing w:line="276" w:lineRule="auto"/>
        <w:ind w:right="-22"/>
        <w:rPr>
          <w:rFonts w:ascii="Verdana" w:hAnsi="Verdana" w:cstheme="minorHAnsi"/>
          <w:sz w:val="18"/>
          <w:szCs w:val="18"/>
        </w:rPr>
      </w:pPr>
    </w:p>
    <w:p w14:paraId="0021AF31" w14:textId="1CDDE675" w:rsidR="00CC5257" w:rsidRPr="008B5521" w:rsidRDefault="00CC5257" w:rsidP="00341112">
      <w:pPr>
        <w:pStyle w:val="acnormalbold"/>
        <w:widowControl w:val="0"/>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906C04">
        <w:rPr>
          <w:rFonts w:ascii="Verdana" w:hAnsi="Verdana" w:cstheme="minorHAnsi"/>
          <w:b w:val="0"/>
          <w:sz w:val="18"/>
          <w:szCs w:val="18"/>
        </w:rPr>
        <w:t>Praze</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3838D836" w14:textId="77777777" w:rsidR="00906C04" w:rsidRPr="002507FA" w:rsidRDefault="00906C04" w:rsidP="00341112">
      <w:pPr>
        <w:pStyle w:val="Zkladntext21"/>
        <w:widowControl w:val="0"/>
        <w:spacing w:line="276" w:lineRule="auto"/>
        <w:ind w:right="-22"/>
        <w:rPr>
          <w:rFonts w:ascii="Verdana" w:hAnsi="Verdana" w:cstheme="minorHAnsi"/>
          <w:sz w:val="18"/>
          <w:szCs w:val="18"/>
        </w:rPr>
      </w:pPr>
    </w:p>
    <w:p w14:paraId="5023CFFD" w14:textId="77777777" w:rsidR="00906C04" w:rsidRPr="002507FA" w:rsidRDefault="00906C04" w:rsidP="00341112">
      <w:pPr>
        <w:pStyle w:val="acnormalbold"/>
        <w:keepLines/>
        <w:widowControl w:val="0"/>
        <w:spacing w:before="0" w:after="0"/>
        <w:rPr>
          <w:rFonts w:ascii="Verdana" w:hAnsi="Verdana" w:cstheme="minorHAnsi"/>
          <w:b w:val="0"/>
          <w:sz w:val="18"/>
          <w:szCs w:val="18"/>
        </w:rPr>
      </w:pPr>
    </w:p>
    <w:p w14:paraId="08EEF4F4" w14:textId="2C454B34" w:rsidR="00906C04" w:rsidRDefault="00906C04" w:rsidP="00341112">
      <w:pPr>
        <w:pStyle w:val="acnormalbold"/>
        <w:keepLines/>
        <w:widowControl w:val="0"/>
        <w:spacing w:before="0" w:after="0"/>
        <w:rPr>
          <w:rFonts w:ascii="Verdana" w:hAnsi="Verdana" w:cstheme="minorHAnsi"/>
          <w:b w:val="0"/>
          <w:sz w:val="18"/>
          <w:szCs w:val="18"/>
        </w:rPr>
      </w:pPr>
      <w:r>
        <w:rPr>
          <w:rFonts w:ascii="Verdana" w:hAnsi="Verdana" w:cstheme="minorHAnsi"/>
          <w:b w:val="0"/>
          <w:sz w:val="18"/>
          <w:szCs w:val="18"/>
        </w:rPr>
        <w:t>Kupující:</w:t>
      </w:r>
      <w:r>
        <w:rPr>
          <w:rFonts w:ascii="Verdana" w:hAnsi="Verdana" w:cstheme="minorHAnsi"/>
          <w:b w:val="0"/>
          <w:sz w:val="18"/>
          <w:szCs w:val="18"/>
        </w:rPr>
        <w:tab/>
      </w:r>
      <w:r>
        <w:rPr>
          <w:rFonts w:ascii="Verdana" w:hAnsi="Verdana" w:cstheme="minorHAnsi"/>
          <w:b w:val="0"/>
          <w:sz w:val="18"/>
          <w:szCs w:val="18"/>
        </w:rPr>
        <w:tab/>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Prodávající</w:t>
      </w:r>
      <w:r w:rsidRPr="002507FA">
        <w:rPr>
          <w:rFonts w:ascii="Verdana" w:hAnsi="Verdana" w:cstheme="minorHAnsi"/>
          <w:b w:val="0"/>
          <w:sz w:val="18"/>
          <w:szCs w:val="18"/>
        </w:rPr>
        <w:t xml:space="preserve">:  </w:t>
      </w:r>
    </w:p>
    <w:p w14:paraId="5237F886" w14:textId="3156EBB0" w:rsidR="00906C04" w:rsidRDefault="00906C04" w:rsidP="00341112">
      <w:pPr>
        <w:pStyle w:val="acnormalbold"/>
        <w:keepLines/>
        <w:widowControl w:val="0"/>
        <w:spacing w:before="0" w:after="0"/>
        <w:rPr>
          <w:rFonts w:ascii="Verdana" w:hAnsi="Verdana" w:cstheme="minorHAnsi"/>
          <w:b w:val="0"/>
          <w:sz w:val="18"/>
          <w:szCs w:val="18"/>
        </w:rPr>
      </w:pPr>
    </w:p>
    <w:p w14:paraId="6E9C8165" w14:textId="77777777" w:rsidR="00341112" w:rsidRPr="00341112" w:rsidRDefault="00341112" w:rsidP="00341112">
      <w:pPr>
        <w:pStyle w:val="acnormal"/>
        <w:widowControl w:val="0"/>
      </w:pPr>
    </w:p>
    <w:p w14:paraId="48461C3F" w14:textId="77777777" w:rsidR="00906C04" w:rsidRPr="00CF5179" w:rsidRDefault="00906C04" w:rsidP="00341112">
      <w:pPr>
        <w:keepLines/>
        <w:widowControl w:val="0"/>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44B6887C" w14:textId="77777777" w:rsidR="00906C04" w:rsidRPr="00CF5179" w:rsidRDefault="00906C04" w:rsidP="00341112">
      <w:pPr>
        <w:keepLines/>
        <w:widowControl w:val="0"/>
        <w:spacing w:after="0"/>
        <w:ind w:left="4961" w:hanging="4961"/>
        <w:jc w:val="both"/>
        <w:rPr>
          <w:rFonts w:ascii="Verdana" w:hAnsi="Verdana" w:cstheme="minorHAnsi"/>
          <w:b/>
          <w:sz w:val="18"/>
          <w:szCs w:val="18"/>
        </w:rPr>
      </w:pPr>
      <w:r w:rsidRPr="00CF5179">
        <w:rPr>
          <w:rFonts w:ascii="Verdana" w:hAnsi="Verdana" w:cstheme="minorHAnsi"/>
          <w:b/>
          <w:sz w:val="18"/>
          <w:szCs w:val="18"/>
        </w:rPr>
        <w:t>Ing. Vladimír Filip</w:t>
      </w:r>
    </w:p>
    <w:p w14:paraId="299ED098" w14:textId="780ECE53" w:rsidR="00906C04" w:rsidRPr="00CF5179" w:rsidRDefault="00341112" w:rsidP="00341112">
      <w:pPr>
        <w:keepLines/>
        <w:widowControl w:val="0"/>
        <w:spacing w:after="0"/>
        <w:ind w:left="4961" w:hanging="4961"/>
        <w:jc w:val="both"/>
        <w:rPr>
          <w:rFonts w:ascii="Verdana" w:hAnsi="Verdana" w:cstheme="minorHAnsi"/>
          <w:sz w:val="18"/>
          <w:szCs w:val="18"/>
        </w:rPr>
      </w:pPr>
      <w:r>
        <w:rPr>
          <w:rFonts w:ascii="Verdana" w:hAnsi="Verdana" w:cstheme="minorHAnsi"/>
          <w:sz w:val="18"/>
          <w:szCs w:val="18"/>
        </w:rPr>
        <w:t>ř</w:t>
      </w:r>
      <w:r w:rsidR="00906C04" w:rsidRPr="00CF5179">
        <w:rPr>
          <w:rFonts w:ascii="Verdana" w:hAnsi="Verdana" w:cstheme="minorHAnsi"/>
          <w:sz w:val="18"/>
          <w:szCs w:val="18"/>
        </w:rPr>
        <w:t>editel</w:t>
      </w:r>
      <w:r>
        <w:rPr>
          <w:rFonts w:ascii="Verdana" w:hAnsi="Verdana" w:cstheme="minorHAnsi"/>
          <w:sz w:val="18"/>
          <w:szCs w:val="18"/>
        </w:rPr>
        <w:t xml:space="preserve"> Oblastního ředitelství Praha</w:t>
      </w:r>
    </w:p>
    <w:p w14:paraId="70EC199D" w14:textId="1DD3D64F" w:rsidR="00137760" w:rsidRPr="008B5521" w:rsidRDefault="00341112" w:rsidP="00341112">
      <w:pPr>
        <w:widowControl w:val="0"/>
        <w:rPr>
          <w:rFonts w:ascii="Verdana" w:hAnsi="Verdana" w:cstheme="minorHAnsi"/>
          <w:sz w:val="18"/>
          <w:szCs w:val="18"/>
        </w:rPr>
      </w:pPr>
      <w:r>
        <w:rPr>
          <w:rFonts w:ascii="Verdana" w:hAnsi="Verdana" w:cstheme="minorHAnsi"/>
          <w:sz w:val="18"/>
          <w:szCs w:val="18"/>
        </w:rPr>
        <w:t>Správa železnic, státní organizace</w:t>
      </w:r>
      <w:r w:rsidR="00906C04">
        <w:rPr>
          <w:rFonts w:ascii="Verdana" w:hAnsi="Verdana" w:cstheme="minorHAnsi"/>
          <w:sz w:val="18"/>
          <w:szCs w:val="18"/>
        </w:rPr>
        <w:tab/>
      </w:r>
      <w:r w:rsidR="00906C04">
        <w:rPr>
          <w:rFonts w:ascii="Verdana" w:hAnsi="Verdana" w:cstheme="minorHAnsi"/>
          <w:sz w:val="18"/>
          <w:szCs w:val="18"/>
        </w:rPr>
        <w:tab/>
      </w:r>
    </w:p>
    <w:p w14:paraId="00FA9031" w14:textId="31D6F884" w:rsidR="00BF4D4D" w:rsidRDefault="00BF4D4D" w:rsidP="00341112">
      <w:pPr>
        <w:widowControl w:val="0"/>
        <w:rPr>
          <w:rFonts w:ascii="Verdana" w:hAnsi="Verdana" w:cstheme="minorHAnsi"/>
          <w:sz w:val="18"/>
          <w:szCs w:val="18"/>
        </w:rPr>
      </w:pPr>
    </w:p>
    <w:p w14:paraId="1F08B5AC" w14:textId="5671A6A6" w:rsidR="008501FE" w:rsidRDefault="008501FE" w:rsidP="00341112">
      <w:pPr>
        <w:widowControl w:val="0"/>
        <w:rPr>
          <w:rFonts w:ascii="Verdana" w:hAnsi="Verdana" w:cstheme="minorHAnsi"/>
          <w:sz w:val="18"/>
          <w:szCs w:val="18"/>
        </w:rPr>
      </w:pPr>
    </w:p>
    <w:p w14:paraId="611310C2" w14:textId="4863BE56" w:rsidR="008501FE" w:rsidRDefault="008501FE" w:rsidP="00341112">
      <w:pPr>
        <w:widowControl w:val="0"/>
        <w:rPr>
          <w:rFonts w:ascii="Verdana" w:hAnsi="Verdana" w:cstheme="minorHAnsi"/>
          <w:sz w:val="18"/>
          <w:szCs w:val="18"/>
        </w:rPr>
      </w:pPr>
    </w:p>
    <w:p w14:paraId="4AA2BCE1" w14:textId="77777777" w:rsidR="008501FE" w:rsidRDefault="008501FE" w:rsidP="008501FE">
      <w:pPr>
        <w:pStyle w:val="acnormal"/>
        <w:rPr>
          <w:rFonts w:ascii="Verdana" w:hAnsi="Verdana" w:cstheme="minorHAnsi"/>
          <w:sz w:val="18"/>
          <w:szCs w:val="18"/>
        </w:rPr>
      </w:pPr>
      <w:r>
        <w:rPr>
          <w:rFonts w:ascii="Verdana" w:hAnsi="Verdana" w:cstheme="minorHAnsi"/>
          <w:sz w:val="18"/>
          <w:szCs w:val="18"/>
        </w:rPr>
        <w:t xml:space="preserve">Tato Rámcová dohoda byla uveřejněna prostřednictvím registru smluv dne ……………   </w:t>
      </w:r>
      <w:r>
        <w:rPr>
          <w:rFonts w:ascii="Verdana" w:hAnsi="Verdana" w:cstheme="minorHAnsi"/>
          <w:sz w:val="18"/>
          <w:szCs w:val="18"/>
        </w:rPr>
        <w:tab/>
      </w:r>
    </w:p>
    <w:p w14:paraId="3589B359" w14:textId="77777777" w:rsidR="008501FE" w:rsidRPr="008B5521" w:rsidRDefault="008501FE" w:rsidP="00341112">
      <w:pPr>
        <w:widowControl w:val="0"/>
        <w:rPr>
          <w:rFonts w:ascii="Verdana" w:hAnsi="Verdana" w:cstheme="minorHAnsi"/>
          <w:sz w:val="18"/>
          <w:szCs w:val="18"/>
        </w:rPr>
      </w:pPr>
    </w:p>
    <w:sectPr w:rsidR="008501FE" w:rsidRPr="008B5521" w:rsidSect="00881C18">
      <w:footerReference w:type="default" r:id="rId17"/>
      <w:headerReference w:type="first" r:id="rId18"/>
      <w:footerReference w:type="first" r:id="rId19"/>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2ABA32" w14:textId="77777777" w:rsidR="00297180" w:rsidRDefault="00297180" w:rsidP="003706CB">
      <w:pPr>
        <w:spacing w:after="0" w:line="240" w:lineRule="auto"/>
      </w:pPr>
      <w:r>
        <w:separator/>
      </w:r>
    </w:p>
  </w:endnote>
  <w:endnote w:type="continuationSeparator" w:id="0">
    <w:p w14:paraId="48C929D1" w14:textId="77777777" w:rsidR="00297180" w:rsidRDefault="00297180" w:rsidP="003706CB">
      <w:pPr>
        <w:spacing w:after="0" w:line="240" w:lineRule="auto"/>
      </w:pPr>
      <w:r>
        <w:continuationSeparator/>
      </w:r>
    </w:p>
  </w:endnote>
  <w:endnote w:type="continuationNotice" w:id="1">
    <w:p w14:paraId="46B758EE" w14:textId="77777777" w:rsidR="00297180" w:rsidRDefault="002971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68FFA" w14:textId="2D568A02"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BB36E1">
      <w:rPr>
        <w:rFonts w:ascii="Verdana" w:eastAsia="Verdana" w:hAnsi="Verdana"/>
        <w:b/>
        <w:noProof/>
        <w:color w:val="FF5200"/>
        <w:sz w:val="14"/>
        <w:szCs w:val="18"/>
      </w:rPr>
      <w:t>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BB36E1">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6DF951D7"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BB36E1">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BB36E1">
            <w:rPr>
              <w:rFonts w:ascii="Verdana" w:eastAsia="Verdana" w:hAnsi="Verdana"/>
              <w:noProof/>
              <w:color w:val="FF5200"/>
              <w:sz w:val="14"/>
            </w:rPr>
            <w:t>8</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2CF4B8EF" w:rsidR="003B2DAA" w:rsidRPr="003B2DAA" w:rsidRDefault="00567F74" w:rsidP="00567F74">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1F5E40FA" w14:textId="77777777" w:rsidR="003B2DAA" w:rsidRDefault="00BA0337" w:rsidP="00341112">
          <w:pPr>
            <w:tabs>
              <w:tab w:val="center" w:pos="4536"/>
              <w:tab w:val="right" w:pos="9072"/>
            </w:tabs>
            <w:ind w:firstLine="708"/>
            <w:rPr>
              <w:rFonts w:ascii="Verdana" w:eastAsia="Verdana" w:hAnsi="Verdana"/>
              <w:sz w:val="12"/>
            </w:rPr>
          </w:pPr>
          <w:r>
            <w:rPr>
              <w:rFonts w:ascii="Verdana" w:eastAsia="Verdana" w:hAnsi="Verdana"/>
              <w:sz w:val="12"/>
            </w:rPr>
            <w:t>Oblastní ředitelství Praha</w:t>
          </w:r>
        </w:p>
        <w:p w14:paraId="5D478B0E" w14:textId="77777777" w:rsidR="00BA0337" w:rsidRDefault="00BA0337" w:rsidP="00341112">
          <w:pPr>
            <w:tabs>
              <w:tab w:val="center" w:pos="4536"/>
              <w:tab w:val="right" w:pos="9072"/>
            </w:tabs>
            <w:ind w:firstLine="708"/>
            <w:rPr>
              <w:rFonts w:ascii="Verdana" w:eastAsia="Verdana" w:hAnsi="Verdana"/>
              <w:sz w:val="12"/>
            </w:rPr>
          </w:pPr>
          <w:r>
            <w:rPr>
              <w:rFonts w:ascii="Verdana" w:eastAsia="Verdana" w:hAnsi="Verdana"/>
              <w:sz w:val="12"/>
            </w:rPr>
            <w:t>Partyzánská 24</w:t>
          </w:r>
        </w:p>
        <w:p w14:paraId="3EBBBA79" w14:textId="6727594D" w:rsidR="00BA0337" w:rsidRPr="003B2DAA" w:rsidRDefault="00BA0337" w:rsidP="00341112">
          <w:pPr>
            <w:tabs>
              <w:tab w:val="center" w:pos="4536"/>
              <w:tab w:val="right" w:pos="9072"/>
            </w:tabs>
            <w:ind w:firstLine="708"/>
            <w:rPr>
              <w:rFonts w:ascii="Verdana" w:eastAsia="Verdana" w:hAnsi="Verdana"/>
              <w:sz w:val="12"/>
            </w:rPr>
          </w:pPr>
          <w:r>
            <w:rPr>
              <w:rFonts w:ascii="Verdana" w:eastAsia="Verdana" w:hAnsi="Verdana"/>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BC93D9" w14:textId="77777777" w:rsidR="00297180" w:rsidRDefault="00297180" w:rsidP="003706CB">
      <w:pPr>
        <w:spacing w:after="0" w:line="240" w:lineRule="auto"/>
      </w:pPr>
      <w:r>
        <w:separator/>
      </w:r>
    </w:p>
  </w:footnote>
  <w:footnote w:type="continuationSeparator" w:id="0">
    <w:p w14:paraId="4FA84620" w14:textId="77777777" w:rsidR="00297180" w:rsidRDefault="00297180" w:rsidP="003706CB">
      <w:pPr>
        <w:spacing w:after="0" w:line="240" w:lineRule="auto"/>
      </w:pPr>
      <w:r>
        <w:continuationSeparator/>
      </w:r>
    </w:p>
  </w:footnote>
  <w:footnote w:type="continuationNotice" w:id="1">
    <w:p w14:paraId="101D4A8B" w14:textId="77777777" w:rsidR="00297180" w:rsidRDefault="002971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1009" w14:textId="62E235B9"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93D24"/>
    <w:multiLevelType w:val="hybridMultilevel"/>
    <w:tmpl w:val="81BA38FA"/>
    <w:lvl w:ilvl="0" w:tplc="580E818E">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17DA86E6"/>
    <w:lvl w:ilvl="0" w:tplc="CA6291F0">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D3760FD"/>
    <w:multiLevelType w:val="hybridMultilevel"/>
    <w:tmpl w:val="5CD486D4"/>
    <w:name w:val="ac2"/>
    <w:lvl w:ilvl="0" w:tplc="E4868EE4">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2"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3"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17"/>
  </w:num>
  <w:num w:numId="3">
    <w:abstractNumId w:val="11"/>
  </w:num>
  <w:num w:numId="4">
    <w:abstractNumId w:val="2"/>
  </w:num>
  <w:num w:numId="5">
    <w:abstractNumId w:val="14"/>
  </w:num>
  <w:num w:numId="6">
    <w:abstractNumId w:val="6"/>
  </w:num>
  <w:num w:numId="7">
    <w:abstractNumId w:val="1"/>
  </w:num>
  <w:num w:numId="8">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5"/>
  </w:num>
  <w:num w:numId="11">
    <w:abstractNumId w:val="4"/>
  </w:num>
  <w:num w:numId="12">
    <w:abstractNumId w:val="16"/>
  </w:num>
  <w:num w:numId="13">
    <w:abstractNumId w:val="9"/>
  </w:num>
  <w:num w:numId="14">
    <w:abstractNumId w:val="14"/>
  </w:num>
  <w:num w:numId="15">
    <w:abstractNumId w:val="6"/>
  </w:num>
  <w:num w:numId="16">
    <w:abstractNumId w:val="3"/>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5"/>
  </w:num>
  <w:num w:numId="20">
    <w:abstractNumId w:val="6"/>
  </w:num>
  <w:num w:numId="21">
    <w:abstractNumId w:val="7"/>
  </w:num>
  <w:num w:numId="22">
    <w:abstractNumId w:val="13"/>
  </w:num>
  <w:num w:numId="23">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45B3A"/>
    <w:rsid w:val="00053B1E"/>
    <w:rsid w:val="00055411"/>
    <w:rsid w:val="00062B10"/>
    <w:rsid w:val="000647F6"/>
    <w:rsid w:val="00065EDF"/>
    <w:rsid w:val="00070AA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023E"/>
    <w:rsid w:val="000B560C"/>
    <w:rsid w:val="000B6260"/>
    <w:rsid w:val="000C4186"/>
    <w:rsid w:val="000C5A20"/>
    <w:rsid w:val="000C5CCC"/>
    <w:rsid w:val="000C7132"/>
    <w:rsid w:val="000D59B0"/>
    <w:rsid w:val="000D5B52"/>
    <w:rsid w:val="000D5E27"/>
    <w:rsid w:val="000E43FD"/>
    <w:rsid w:val="000E5DA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17C"/>
    <w:rsid w:val="00190A1B"/>
    <w:rsid w:val="00194826"/>
    <w:rsid w:val="001954E8"/>
    <w:rsid w:val="001A0EC9"/>
    <w:rsid w:val="001A3204"/>
    <w:rsid w:val="001A3DB4"/>
    <w:rsid w:val="001A487E"/>
    <w:rsid w:val="001A6855"/>
    <w:rsid w:val="001B1572"/>
    <w:rsid w:val="001B229D"/>
    <w:rsid w:val="001C012F"/>
    <w:rsid w:val="001C7A89"/>
    <w:rsid w:val="001C7FC3"/>
    <w:rsid w:val="001D394C"/>
    <w:rsid w:val="001D65ED"/>
    <w:rsid w:val="001D78A4"/>
    <w:rsid w:val="001E20FA"/>
    <w:rsid w:val="001E6863"/>
    <w:rsid w:val="001F0A7A"/>
    <w:rsid w:val="002009D4"/>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478A1"/>
    <w:rsid w:val="002510A3"/>
    <w:rsid w:val="00252D09"/>
    <w:rsid w:val="00253C01"/>
    <w:rsid w:val="002570CC"/>
    <w:rsid w:val="002573D5"/>
    <w:rsid w:val="002739E8"/>
    <w:rsid w:val="00277C3D"/>
    <w:rsid w:val="0028212C"/>
    <w:rsid w:val="00287BC5"/>
    <w:rsid w:val="00297180"/>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1316B"/>
    <w:rsid w:val="00324DFF"/>
    <w:rsid w:val="00334131"/>
    <w:rsid w:val="00341112"/>
    <w:rsid w:val="00342BE3"/>
    <w:rsid w:val="0034694D"/>
    <w:rsid w:val="00346D6A"/>
    <w:rsid w:val="003509D2"/>
    <w:rsid w:val="003520AB"/>
    <w:rsid w:val="00362102"/>
    <w:rsid w:val="00367487"/>
    <w:rsid w:val="003706CB"/>
    <w:rsid w:val="003742B2"/>
    <w:rsid w:val="003761EF"/>
    <w:rsid w:val="0038252A"/>
    <w:rsid w:val="003826CD"/>
    <w:rsid w:val="00383CA1"/>
    <w:rsid w:val="003847FF"/>
    <w:rsid w:val="00385E26"/>
    <w:rsid w:val="003862BB"/>
    <w:rsid w:val="003934CC"/>
    <w:rsid w:val="00395493"/>
    <w:rsid w:val="00397D80"/>
    <w:rsid w:val="003A181A"/>
    <w:rsid w:val="003A26D5"/>
    <w:rsid w:val="003A695E"/>
    <w:rsid w:val="003B1469"/>
    <w:rsid w:val="003B191D"/>
    <w:rsid w:val="003B2DAA"/>
    <w:rsid w:val="003C004B"/>
    <w:rsid w:val="003C108B"/>
    <w:rsid w:val="003C58F8"/>
    <w:rsid w:val="003D7110"/>
    <w:rsid w:val="003E0E6B"/>
    <w:rsid w:val="003E35D0"/>
    <w:rsid w:val="003E3A8A"/>
    <w:rsid w:val="003E662A"/>
    <w:rsid w:val="00402E9E"/>
    <w:rsid w:val="0040306C"/>
    <w:rsid w:val="00404FCB"/>
    <w:rsid w:val="0040600D"/>
    <w:rsid w:val="00410560"/>
    <w:rsid w:val="004135D3"/>
    <w:rsid w:val="00425375"/>
    <w:rsid w:val="004374F9"/>
    <w:rsid w:val="0044625A"/>
    <w:rsid w:val="0044630D"/>
    <w:rsid w:val="0045586A"/>
    <w:rsid w:val="00457E76"/>
    <w:rsid w:val="004618C1"/>
    <w:rsid w:val="004633C5"/>
    <w:rsid w:val="004662B3"/>
    <w:rsid w:val="0046631B"/>
    <w:rsid w:val="00467459"/>
    <w:rsid w:val="0047043C"/>
    <w:rsid w:val="00474AD3"/>
    <w:rsid w:val="004760BE"/>
    <w:rsid w:val="00477CDD"/>
    <w:rsid w:val="00480C84"/>
    <w:rsid w:val="00481FBA"/>
    <w:rsid w:val="00483564"/>
    <w:rsid w:val="004867C2"/>
    <w:rsid w:val="00496E5D"/>
    <w:rsid w:val="00497D84"/>
    <w:rsid w:val="004A33DA"/>
    <w:rsid w:val="004A5633"/>
    <w:rsid w:val="004B0429"/>
    <w:rsid w:val="004B403E"/>
    <w:rsid w:val="004B473A"/>
    <w:rsid w:val="004B71BA"/>
    <w:rsid w:val="004B744D"/>
    <w:rsid w:val="004C3347"/>
    <w:rsid w:val="004D0CC7"/>
    <w:rsid w:val="004D235B"/>
    <w:rsid w:val="004D3F5F"/>
    <w:rsid w:val="004E6499"/>
    <w:rsid w:val="004F14F3"/>
    <w:rsid w:val="004F194C"/>
    <w:rsid w:val="004F22C3"/>
    <w:rsid w:val="004F23DD"/>
    <w:rsid w:val="004F3758"/>
    <w:rsid w:val="00500E21"/>
    <w:rsid w:val="00514BF8"/>
    <w:rsid w:val="005166BE"/>
    <w:rsid w:val="00517F20"/>
    <w:rsid w:val="005306D8"/>
    <w:rsid w:val="005311A5"/>
    <w:rsid w:val="00534DBA"/>
    <w:rsid w:val="00544B8E"/>
    <w:rsid w:val="00546176"/>
    <w:rsid w:val="00554EBC"/>
    <w:rsid w:val="00560216"/>
    <w:rsid w:val="00562A02"/>
    <w:rsid w:val="00563670"/>
    <w:rsid w:val="00566F57"/>
    <w:rsid w:val="00567F74"/>
    <w:rsid w:val="00570C8D"/>
    <w:rsid w:val="00572B36"/>
    <w:rsid w:val="00574368"/>
    <w:rsid w:val="00576A2A"/>
    <w:rsid w:val="00590964"/>
    <w:rsid w:val="005962BE"/>
    <w:rsid w:val="0059769D"/>
    <w:rsid w:val="005A40FB"/>
    <w:rsid w:val="005A4E1A"/>
    <w:rsid w:val="005A5067"/>
    <w:rsid w:val="005C0F02"/>
    <w:rsid w:val="005C776A"/>
    <w:rsid w:val="005D4748"/>
    <w:rsid w:val="005D4FDA"/>
    <w:rsid w:val="005D7C2C"/>
    <w:rsid w:val="005E1F4C"/>
    <w:rsid w:val="005E3788"/>
    <w:rsid w:val="005E6DAB"/>
    <w:rsid w:val="005F45C7"/>
    <w:rsid w:val="006007E5"/>
    <w:rsid w:val="006066DF"/>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A6000"/>
    <w:rsid w:val="006B0F7B"/>
    <w:rsid w:val="006C21B2"/>
    <w:rsid w:val="006C3217"/>
    <w:rsid w:val="006D1ACE"/>
    <w:rsid w:val="006D4716"/>
    <w:rsid w:val="006E247C"/>
    <w:rsid w:val="006E2605"/>
    <w:rsid w:val="006E381A"/>
    <w:rsid w:val="006F1EC7"/>
    <w:rsid w:val="006F2696"/>
    <w:rsid w:val="006F307C"/>
    <w:rsid w:val="006F3D01"/>
    <w:rsid w:val="006F4EEF"/>
    <w:rsid w:val="00700C54"/>
    <w:rsid w:val="0070422F"/>
    <w:rsid w:val="00704546"/>
    <w:rsid w:val="007046D3"/>
    <w:rsid w:val="0071081E"/>
    <w:rsid w:val="00712557"/>
    <w:rsid w:val="00712561"/>
    <w:rsid w:val="00712B43"/>
    <w:rsid w:val="00712CE3"/>
    <w:rsid w:val="00714260"/>
    <w:rsid w:val="007147A2"/>
    <w:rsid w:val="0072573F"/>
    <w:rsid w:val="00730FA9"/>
    <w:rsid w:val="00734191"/>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C1338"/>
    <w:rsid w:val="007C5684"/>
    <w:rsid w:val="007C6153"/>
    <w:rsid w:val="007C6257"/>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07772"/>
    <w:rsid w:val="008135F0"/>
    <w:rsid w:val="00815E99"/>
    <w:rsid w:val="00827EDF"/>
    <w:rsid w:val="008310FB"/>
    <w:rsid w:val="00835B2F"/>
    <w:rsid w:val="00840806"/>
    <w:rsid w:val="00844542"/>
    <w:rsid w:val="0084459D"/>
    <w:rsid w:val="00844697"/>
    <w:rsid w:val="008501FE"/>
    <w:rsid w:val="00850D57"/>
    <w:rsid w:val="00853CA3"/>
    <w:rsid w:val="00854F3E"/>
    <w:rsid w:val="00856B7D"/>
    <w:rsid w:val="0086119D"/>
    <w:rsid w:val="008611B5"/>
    <w:rsid w:val="008614CD"/>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E2559"/>
    <w:rsid w:val="008E57D2"/>
    <w:rsid w:val="008F0D1F"/>
    <w:rsid w:val="008F0E4A"/>
    <w:rsid w:val="008F1BAF"/>
    <w:rsid w:val="00901DFA"/>
    <w:rsid w:val="00904D7D"/>
    <w:rsid w:val="00906C04"/>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5FF8"/>
    <w:rsid w:val="00987103"/>
    <w:rsid w:val="0098748B"/>
    <w:rsid w:val="0099094F"/>
    <w:rsid w:val="0099628D"/>
    <w:rsid w:val="00997082"/>
    <w:rsid w:val="009A11A8"/>
    <w:rsid w:val="009A13F0"/>
    <w:rsid w:val="009A14C7"/>
    <w:rsid w:val="009A69E5"/>
    <w:rsid w:val="009A7946"/>
    <w:rsid w:val="009B0E2C"/>
    <w:rsid w:val="009B0FEE"/>
    <w:rsid w:val="009B4571"/>
    <w:rsid w:val="009C1BFA"/>
    <w:rsid w:val="009D00C4"/>
    <w:rsid w:val="009E072C"/>
    <w:rsid w:val="009E1099"/>
    <w:rsid w:val="009E1A26"/>
    <w:rsid w:val="009E32FA"/>
    <w:rsid w:val="009E5DB0"/>
    <w:rsid w:val="009E5FB0"/>
    <w:rsid w:val="009E60A6"/>
    <w:rsid w:val="009F39BA"/>
    <w:rsid w:val="00A02B02"/>
    <w:rsid w:val="00A0411C"/>
    <w:rsid w:val="00A0526B"/>
    <w:rsid w:val="00A0719A"/>
    <w:rsid w:val="00A316C1"/>
    <w:rsid w:val="00A316C8"/>
    <w:rsid w:val="00A323DE"/>
    <w:rsid w:val="00A34CB2"/>
    <w:rsid w:val="00A46AAE"/>
    <w:rsid w:val="00A606A2"/>
    <w:rsid w:val="00A6389F"/>
    <w:rsid w:val="00A65560"/>
    <w:rsid w:val="00A65676"/>
    <w:rsid w:val="00A72DB9"/>
    <w:rsid w:val="00A73798"/>
    <w:rsid w:val="00A7658C"/>
    <w:rsid w:val="00A77CA7"/>
    <w:rsid w:val="00A92237"/>
    <w:rsid w:val="00A92E45"/>
    <w:rsid w:val="00A976F4"/>
    <w:rsid w:val="00AA25B3"/>
    <w:rsid w:val="00AA2A2D"/>
    <w:rsid w:val="00AA435D"/>
    <w:rsid w:val="00AA7FE5"/>
    <w:rsid w:val="00AB0F91"/>
    <w:rsid w:val="00AB3E64"/>
    <w:rsid w:val="00AC677F"/>
    <w:rsid w:val="00AC78D0"/>
    <w:rsid w:val="00AC7E58"/>
    <w:rsid w:val="00AC7EF9"/>
    <w:rsid w:val="00AD42A8"/>
    <w:rsid w:val="00AD7B17"/>
    <w:rsid w:val="00AE1171"/>
    <w:rsid w:val="00AE146B"/>
    <w:rsid w:val="00AE25F7"/>
    <w:rsid w:val="00AE3DAC"/>
    <w:rsid w:val="00AE485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3F1F"/>
    <w:rsid w:val="00B447EA"/>
    <w:rsid w:val="00B44E13"/>
    <w:rsid w:val="00B53110"/>
    <w:rsid w:val="00B53A97"/>
    <w:rsid w:val="00B53C04"/>
    <w:rsid w:val="00B540A2"/>
    <w:rsid w:val="00B55BD0"/>
    <w:rsid w:val="00B63F9B"/>
    <w:rsid w:val="00B702D2"/>
    <w:rsid w:val="00B74412"/>
    <w:rsid w:val="00BA0337"/>
    <w:rsid w:val="00BA19C0"/>
    <w:rsid w:val="00BA3F41"/>
    <w:rsid w:val="00BA4430"/>
    <w:rsid w:val="00BA5837"/>
    <w:rsid w:val="00BA7E2F"/>
    <w:rsid w:val="00BB0757"/>
    <w:rsid w:val="00BB36E1"/>
    <w:rsid w:val="00BB5E7C"/>
    <w:rsid w:val="00BC380A"/>
    <w:rsid w:val="00BC5D86"/>
    <w:rsid w:val="00BD7195"/>
    <w:rsid w:val="00BE24DE"/>
    <w:rsid w:val="00BE7339"/>
    <w:rsid w:val="00BF02CF"/>
    <w:rsid w:val="00BF2011"/>
    <w:rsid w:val="00BF4D4D"/>
    <w:rsid w:val="00C01FDB"/>
    <w:rsid w:val="00C06AF0"/>
    <w:rsid w:val="00C10A21"/>
    <w:rsid w:val="00C12CBA"/>
    <w:rsid w:val="00C16730"/>
    <w:rsid w:val="00C20498"/>
    <w:rsid w:val="00C215E3"/>
    <w:rsid w:val="00C24777"/>
    <w:rsid w:val="00C26221"/>
    <w:rsid w:val="00C26E78"/>
    <w:rsid w:val="00C31D5B"/>
    <w:rsid w:val="00C320F5"/>
    <w:rsid w:val="00C43F40"/>
    <w:rsid w:val="00C448C0"/>
    <w:rsid w:val="00C51888"/>
    <w:rsid w:val="00C52F0E"/>
    <w:rsid w:val="00C53862"/>
    <w:rsid w:val="00C54309"/>
    <w:rsid w:val="00C54DB5"/>
    <w:rsid w:val="00C563AC"/>
    <w:rsid w:val="00C61475"/>
    <w:rsid w:val="00C63B6D"/>
    <w:rsid w:val="00C63B85"/>
    <w:rsid w:val="00C67340"/>
    <w:rsid w:val="00C70772"/>
    <w:rsid w:val="00C90BCF"/>
    <w:rsid w:val="00C91666"/>
    <w:rsid w:val="00C928F9"/>
    <w:rsid w:val="00C951D3"/>
    <w:rsid w:val="00CA5E7B"/>
    <w:rsid w:val="00CA7C40"/>
    <w:rsid w:val="00CB09BC"/>
    <w:rsid w:val="00CB26F1"/>
    <w:rsid w:val="00CB2F22"/>
    <w:rsid w:val="00CB6B7E"/>
    <w:rsid w:val="00CC2D9E"/>
    <w:rsid w:val="00CC5257"/>
    <w:rsid w:val="00CC76B6"/>
    <w:rsid w:val="00CD14C0"/>
    <w:rsid w:val="00CE0374"/>
    <w:rsid w:val="00CE041C"/>
    <w:rsid w:val="00CE4329"/>
    <w:rsid w:val="00CE488A"/>
    <w:rsid w:val="00CF1282"/>
    <w:rsid w:val="00CF66BA"/>
    <w:rsid w:val="00D01A96"/>
    <w:rsid w:val="00D034CB"/>
    <w:rsid w:val="00D04FD1"/>
    <w:rsid w:val="00D10664"/>
    <w:rsid w:val="00D12B1E"/>
    <w:rsid w:val="00D13D04"/>
    <w:rsid w:val="00D15029"/>
    <w:rsid w:val="00D162B6"/>
    <w:rsid w:val="00D279CA"/>
    <w:rsid w:val="00D30AD6"/>
    <w:rsid w:val="00D323A6"/>
    <w:rsid w:val="00D37412"/>
    <w:rsid w:val="00D45474"/>
    <w:rsid w:val="00D45E1D"/>
    <w:rsid w:val="00D52ACB"/>
    <w:rsid w:val="00D5313F"/>
    <w:rsid w:val="00D608AA"/>
    <w:rsid w:val="00D61A99"/>
    <w:rsid w:val="00D67925"/>
    <w:rsid w:val="00D734CC"/>
    <w:rsid w:val="00D73DCF"/>
    <w:rsid w:val="00D76B88"/>
    <w:rsid w:val="00D804BE"/>
    <w:rsid w:val="00D864DF"/>
    <w:rsid w:val="00D919C5"/>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A6120"/>
    <w:rsid w:val="00EA6BA4"/>
    <w:rsid w:val="00EB1E1A"/>
    <w:rsid w:val="00EB258A"/>
    <w:rsid w:val="00EB7BE5"/>
    <w:rsid w:val="00EC07BD"/>
    <w:rsid w:val="00ED0D45"/>
    <w:rsid w:val="00ED1C3B"/>
    <w:rsid w:val="00ED1EFF"/>
    <w:rsid w:val="00ED42A7"/>
    <w:rsid w:val="00ED4450"/>
    <w:rsid w:val="00ED7AEE"/>
    <w:rsid w:val="00EE07E0"/>
    <w:rsid w:val="00EE18A0"/>
    <w:rsid w:val="00EE77D8"/>
    <w:rsid w:val="00EF0BF5"/>
    <w:rsid w:val="00EF5412"/>
    <w:rsid w:val="00EF6A9D"/>
    <w:rsid w:val="00EF7489"/>
    <w:rsid w:val="00F032CD"/>
    <w:rsid w:val="00F04558"/>
    <w:rsid w:val="00F04A6E"/>
    <w:rsid w:val="00F14996"/>
    <w:rsid w:val="00F16701"/>
    <w:rsid w:val="00F16C52"/>
    <w:rsid w:val="00F22E45"/>
    <w:rsid w:val="00F22ECE"/>
    <w:rsid w:val="00F2499A"/>
    <w:rsid w:val="00F265E8"/>
    <w:rsid w:val="00F37200"/>
    <w:rsid w:val="00F416B4"/>
    <w:rsid w:val="00F50F24"/>
    <w:rsid w:val="00F52149"/>
    <w:rsid w:val="00F52DA1"/>
    <w:rsid w:val="00F57C05"/>
    <w:rsid w:val="00F64E0B"/>
    <w:rsid w:val="00F6593A"/>
    <w:rsid w:val="00F72785"/>
    <w:rsid w:val="00F73E78"/>
    <w:rsid w:val="00F832D7"/>
    <w:rsid w:val="00F8388C"/>
    <w:rsid w:val="00F85922"/>
    <w:rsid w:val="00F91956"/>
    <w:rsid w:val="00F935C4"/>
    <w:rsid w:val="00F9370C"/>
    <w:rsid w:val="00F9718B"/>
    <w:rsid w:val="00FA012C"/>
    <w:rsid w:val="00FA799E"/>
    <w:rsid w:val="00FB04E9"/>
    <w:rsid w:val="00FB062D"/>
    <w:rsid w:val="00FB0B0B"/>
    <w:rsid w:val="00FB2D4F"/>
    <w:rsid w:val="00FB7FF8"/>
    <w:rsid w:val="00FC00AD"/>
    <w:rsid w:val="00FC1B2B"/>
    <w:rsid w:val="00FC4B20"/>
    <w:rsid w:val="00FC5EAC"/>
    <w:rsid w:val="00FD1161"/>
    <w:rsid w:val="00FE3EA1"/>
    <w:rsid w:val="00FE4AFF"/>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9913FD9"/>
  <w15:docId w15:val="{CC2EB4D2-4291-4722-8023-718DC703F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edovanodkaz">
    <w:name w:val="FollowedHyperlink"/>
    <w:basedOn w:val="Standardnpsmoodstavce"/>
    <w:uiPriority w:val="99"/>
    <w:semiHidden/>
    <w:unhideWhenUsed/>
    <w:rsid w:val="00A6567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941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uhnelov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mailto:Kuhnel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0AF10-6D41-4B47-B3FB-35E6B7A8F7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E73F3E0-B477-4BB9-A968-8BA29AEC86D4}">
  <ds:schemaRefs>
    <ds:schemaRef ds:uri="http://schemas.microsoft.com/sharepoint/v3/contenttype/forms"/>
  </ds:schemaRefs>
</ds:datastoreItem>
</file>

<file path=customXml/itemProps3.xml><?xml version="1.0" encoding="utf-8"?>
<ds:datastoreItem xmlns:ds="http://schemas.openxmlformats.org/officeDocument/2006/customXml" ds:itemID="{890448F6-D368-4F66-B1C8-06FFF998BDA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ECF71953-E1AB-4D94-8E68-6BAF7267C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3620</Words>
  <Characters>21358</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Jeník Adam</cp:lastModifiedBy>
  <cp:revision>6</cp:revision>
  <cp:lastPrinted>2023-01-20T12:11:00Z</cp:lastPrinted>
  <dcterms:created xsi:type="dcterms:W3CDTF">2023-01-20T10:52:00Z</dcterms:created>
  <dcterms:modified xsi:type="dcterms:W3CDTF">2023-01-20T12:13:00Z</dcterms:modified>
</cp:coreProperties>
</file>